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C93BC" w14:textId="4281411C" w:rsidR="00ED3D4B" w:rsidRDefault="00B13086">
      <w:pPr>
        <w:spacing w:line="360" w:lineRule="auto"/>
        <w:jc w:val="both"/>
        <w:rPr>
          <w:rFonts w:ascii="Times New Roman" w:hAnsi="Times New Roman" w:cs="Times New Roman"/>
          <w:sz w:val="24"/>
          <w:szCs w:val="24"/>
        </w:rPr>
      </w:pPr>
      <w:r>
        <w:rPr>
          <w:rFonts w:ascii="Times New Roman" w:hAnsi="Times New Roman" w:cs="Times New Roman"/>
          <w:b/>
          <w:sz w:val="28"/>
          <w:szCs w:val="24"/>
        </w:rPr>
        <w:t xml:space="preserve">Title Page: </w:t>
      </w:r>
    </w:p>
    <w:p w14:paraId="47DC723B" w14:textId="77777777" w:rsidR="00ED3D4B" w:rsidRDefault="00B13086">
      <w:pPr>
        <w:spacing w:line="360" w:lineRule="auto"/>
        <w:jc w:val="both"/>
        <w:rPr>
          <w:rFonts w:ascii="Times New Roman" w:hAnsi="Times New Roman" w:cs="Times New Roman"/>
          <w:sz w:val="24"/>
          <w:szCs w:val="24"/>
        </w:rPr>
      </w:pPr>
      <w:r>
        <w:rPr>
          <w:rFonts w:ascii="Times New Roman" w:hAnsi="Times New Roman" w:cs="Times New Roman"/>
          <w:b/>
          <w:sz w:val="24"/>
          <w:szCs w:val="24"/>
        </w:rPr>
        <w:t>Type of article</w:t>
      </w:r>
      <w:r>
        <w:rPr>
          <w:rFonts w:ascii="Times New Roman" w:hAnsi="Times New Roman" w:cs="Times New Roman"/>
          <w:sz w:val="24"/>
          <w:szCs w:val="24"/>
        </w:rPr>
        <w:t>: Letter</w:t>
      </w:r>
    </w:p>
    <w:p w14:paraId="6F172097" w14:textId="77777777" w:rsidR="00ED3D4B" w:rsidRDefault="00B13086">
      <w:pPr>
        <w:spacing w:line="360" w:lineRule="auto"/>
        <w:jc w:val="both"/>
        <w:rPr>
          <w:rFonts w:ascii="Times New Roman" w:hAnsi="Times New Roman" w:cs="Times New Roman"/>
          <w:sz w:val="24"/>
          <w:szCs w:val="24"/>
        </w:rPr>
      </w:pPr>
      <w:bookmarkStart w:id="0" w:name="_Hlk209379226"/>
      <w:r>
        <w:rPr>
          <w:rFonts w:ascii="Times New Roman" w:hAnsi="Times New Roman" w:cs="Times New Roman"/>
          <w:b/>
          <w:bCs/>
          <w:sz w:val="24"/>
          <w:szCs w:val="24"/>
        </w:rPr>
        <w:t>Title</w:t>
      </w:r>
      <w:r>
        <w:rPr>
          <w:rFonts w:ascii="Times New Roman" w:hAnsi="Times New Roman" w:cs="Times New Roman"/>
          <w:sz w:val="24"/>
          <w:szCs w:val="24"/>
        </w:rPr>
        <w:t>: Both local habitat quality and diversified agricultural landscapes support the restoration of metacommunity cohesion in calcareous grasslands</w:t>
      </w:r>
      <w:bookmarkEnd w:id="0"/>
    </w:p>
    <w:p w14:paraId="654A34EB" w14:textId="5E2E5C77" w:rsidR="00ED3D4B" w:rsidRDefault="00B13086">
      <w:pPr>
        <w:spacing w:line="480" w:lineRule="auto"/>
        <w:jc w:val="both"/>
        <w:rPr>
          <w:rFonts w:ascii="Times New Roman" w:hAnsi="Times New Roman" w:cs="Times New Roman"/>
          <w:sz w:val="24"/>
          <w:szCs w:val="24"/>
        </w:rPr>
      </w:pPr>
      <w:r>
        <w:rPr>
          <w:rFonts w:ascii="Times New Roman" w:hAnsi="Times New Roman" w:cs="Times New Roman"/>
          <w:b/>
          <w:bCs/>
          <w:sz w:val="24"/>
          <w:szCs w:val="24"/>
        </w:rPr>
        <w:t>Short Title</w:t>
      </w:r>
      <w:r>
        <w:rPr>
          <w:rFonts w:ascii="Times New Roman" w:hAnsi="Times New Roman" w:cs="Times New Roman"/>
          <w:sz w:val="24"/>
          <w:szCs w:val="24"/>
        </w:rPr>
        <w:t>:</w:t>
      </w:r>
      <w:r>
        <w:t xml:space="preserve"> </w:t>
      </w:r>
      <w:r>
        <w:rPr>
          <w:rFonts w:ascii="Times New Roman" w:hAnsi="Times New Roman" w:cs="Times New Roman"/>
          <w:sz w:val="24"/>
          <w:szCs w:val="24"/>
        </w:rPr>
        <w:t>Local &amp; landscape quality to restore interactions.</w:t>
      </w:r>
    </w:p>
    <w:p w14:paraId="6ADD0325" w14:textId="77777777" w:rsidR="00ED3D4B" w:rsidRDefault="00B1308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List of Authors</w:t>
      </w:r>
      <w:r>
        <w:rPr>
          <w:rFonts w:ascii="Times New Roman" w:hAnsi="Times New Roman" w:cs="Times New Roman"/>
          <w:sz w:val="24"/>
          <w:szCs w:val="24"/>
        </w:rPr>
        <w:t xml:space="preserve">: </w:t>
      </w:r>
    </w:p>
    <w:p w14:paraId="3BCE923C" w14:textId="64DE4749" w:rsidR="00ED3D4B" w:rsidRPr="0005128A" w:rsidRDefault="00B13086">
      <w:pPr>
        <w:spacing w:line="360" w:lineRule="auto"/>
        <w:jc w:val="both"/>
        <w:rPr>
          <w:rFonts w:ascii="Times New Roman" w:hAnsi="Times New Roman" w:cs="Times New Roman"/>
          <w:szCs w:val="24"/>
        </w:rPr>
      </w:pPr>
      <w:r w:rsidRPr="0005128A">
        <w:rPr>
          <w:rFonts w:ascii="Times New Roman" w:hAnsi="Times New Roman" w:cs="Times New Roman"/>
          <w:szCs w:val="24"/>
        </w:rPr>
        <w:t>Elena Velado-Alonso</w:t>
      </w:r>
      <w:r w:rsidRPr="0005128A">
        <w:rPr>
          <w:rFonts w:ascii="Times New Roman" w:hAnsi="Times New Roman" w:cs="Times New Roman"/>
          <w:szCs w:val="24"/>
          <w:vertAlign w:val="superscript"/>
        </w:rPr>
        <w:t>1,2</w:t>
      </w:r>
      <w:r w:rsidR="00533399" w:rsidRPr="0005128A">
        <w:rPr>
          <w:rFonts w:ascii="Times New Roman" w:hAnsi="Times New Roman" w:cs="Times New Roman"/>
          <w:szCs w:val="24"/>
        </w:rPr>
        <w:t xml:space="preserve"> (corresponding autor)</w:t>
      </w:r>
      <w:r w:rsidRPr="0005128A">
        <w:rPr>
          <w:rFonts w:ascii="Times New Roman" w:hAnsi="Times New Roman" w:cs="Times New Roman"/>
          <w:szCs w:val="24"/>
        </w:rPr>
        <w:t xml:space="preserve">: </w:t>
      </w:r>
      <w:hyperlink r:id="rId8">
        <w:r w:rsidRPr="0005128A">
          <w:rPr>
            <w:rStyle w:val="Hyperlink"/>
            <w:rFonts w:ascii="Times New Roman" w:hAnsi="Times New Roman" w:cs="Times New Roman"/>
            <w:szCs w:val="24"/>
          </w:rPr>
          <w:t>https://orcid.org/0000-0003-4805-2929 //</w:t>
        </w:r>
      </w:hyperlink>
      <w:r w:rsidRPr="0005128A">
        <w:rPr>
          <w:rFonts w:ascii="Times New Roman" w:hAnsi="Times New Roman" w:cs="Times New Roman"/>
          <w:szCs w:val="24"/>
        </w:rPr>
        <w:t xml:space="preserve"> </w:t>
      </w:r>
      <w:hyperlink r:id="rId9">
        <w:r w:rsidRPr="0005128A">
          <w:rPr>
            <w:rStyle w:val="Hyperlink"/>
            <w:rFonts w:ascii="Times New Roman" w:hAnsi="Times New Roman" w:cs="Times New Roman"/>
            <w:szCs w:val="24"/>
          </w:rPr>
          <w:t>elena.velado@outlook.es</w:t>
        </w:r>
      </w:hyperlink>
      <w:r w:rsidRPr="0005128A">
        <w:rPr>
          <w:rFonts w:ascii="Times New Roman" w:hAnsi="Times New Roman" w:cs="Times New Roman"/>
          <w:szCs w:val="24"/>
        </w:rPr>
        <w:t xml:space="preserve"> / </w:t>
      </w:r>
      <w:hyperlink r:id="rId10">
        <w:r w:rsidRPr="0005128A">
          <w:rPr>
            <w:rStyle w:val="Hyperlink"/>
            <w:rFonts w:ascii="Times New Roman" w:hAnsi="Times New Roman" w:cs="Times New Roman"/>
            <w:szCs w:val="24"/>
          </w:rPr>
          <w:t>elena.veladoalonso@uni-goettingen.de</w:t>
        </w:r>
      </w:hyperlink>
      <w:r w:rsidRPr="0005128A">
        <w:rPr>
          <w:rFonts w:ascii="Times New Roman" w:hAnsi="Times New Roman" w:cs="Times New Roman"/>
          <w:szCs w:val="24"/>
        </w:rPr>
        <w:t xml:space="preserve"> </w:t>
      </w:r>
    </w:p>
    <w:p w14:paraId="7ECCE1EF" w14:textId="77777777" w:rsidR="00ED3D4B" w:rsidRPr="0005128A" w:rsidRDefault="00B13086">
      <w:pPr>
        <w:spacing w:line="360" w:lineRule="auto"/>
        <w:jc w:val="both"/>
        <w:rPr>
          <w:rFonts w:ascii="Times New Roman" w:hAnsi="Times New Roman" w:cs="Times New Roman"/>
        </w:rPr>
      </w:pPr>
      <w:r w:rsidRPr="0005128A">
        <w:rPr>
          <w:rFonts w:ascii="Times New Roman" w:hAnsi="Times New Roman" w:cs="Times New Roman"/>
        </w:rPr>
        <w:t>Ira Hannappel</w:t>
      </w:r>
      <w:r w:rsidRPr="0005128A">
        <w:rPr>
          <w:rFonts w:ascii="Times New Roman" w:hAnsi="Times New Roman" w:cs="Times New Roman"/>
          <w:vertAlign w:val="superscript"/>
        </w:rPr>
        <w:t>1</w:t>
      </w:r>
      <w:r w:rsidRPr="0005128A">
        <w:rPr>
          <w:rFonts w:ascii="Times New Roman" w:hAnsi="Times New Roman" w:cs="Times New Roman"/>
        </w:rPr>
        <w:t xml:space="preserve">: </w:t>
      </w:r>
      <w:hyperlink r:id="rId11">
        <w:r w:rsidRPr="0005128A">
          <w:rPr>
            <w:rStyle w:val="Hyperlink"/>
            <w:rFonts w:ascii="Times New Roman" w:hAnsi="Times New Roman" w:cs="Times New Roman"/>
          </w:rPr>
          <w:t>https://orcid.org/0009-0005-0467-4787 //</w:t>
        </w:r>
      </w:hyperlink>
      <w:r w:rsidRPr="0005128A">
        <w:rPr>
          <w:rFonts w:ascii="Times New Roman" w:hAnsi="Times New Roman" w:cs="Times New Roman"/>
        </w:rPr>
        <w:t xml:space="preserve"> </w:t>
      </w:r>
      <w:hyperlink r:id="rId12">
        <w:r w:rsidRPr="0005128A">
          <w:rPr>
            <w:rStyle w:val="Hyperlink"/>
            <w:rFonts w:ascii="Times New Roman" w:hAnsi="Times New Roman" w:cs="Times New Roman"/>
          </w:rPr>
          <w:t>ira.hannappel@uni-goettingen.de</w:t>
        </w:r>
      </w:hyperlink>
      <w:r w:rsidRPr="0005128A">
        <w:rPr>
          <w:rFonts w:ascii="Times New Roman" w:hAnsi="Times New Roman" w:cs="Times New Roman"/>
        </w:rPr>
        <w:t xml:space="preserve"> </w:t>
      </w:r>
    </w:p>
    <w:p w14:paraId="15047B5F" w14:textId="77777777" w:rsidR="00ED3D4B" w:rsidRDefault="00B13086">
      <w:pPr>
        <w:spacing w:line="360" w:lineRule="auto"/>
        <w:jc w:val="both"/>
        <w:rPr>
          <w:rFonts w:ascii="Times New Roman" w:hAnsi="Times New Roman" w:cs="Times New Roman"/>
          <w:lang w:val="es-ES"/>
        </w:rPr>
      </w:pPr>
      <w:r>
        <w:rPr>
          <w:rFonts w:ascii="Times New Roman" w:hAnsi="Times New Roman" w:cs="Times New Roman"/>
          <w:lang w:val="es-ES"/>
        </w:rPr>
        <w:t>Felipe Librán-Embid</w:t>
      </w:r>
      <w:r>
        <w:rPr>
          <w:rFonts w:ascii="Times New Roman" w:hAnsi="Times New Roman" w:cs="Times New Roman"/>
          <w:vertAlign w:val="superscript"/>
          <w:lang w:val="es-ES"/>
        </w:rPr>
        <w:t>3</w:t>
      </w:r>
      <w:r>
        <w:rPr>
          <w:rFonts w:ascii="Times New Roman" w:hAnsi="Times New Roman" w:cs="Times New Roman"/>
          <w:lang w:val="es-ES"/>
        </w:rPr>
        <w:t xml:space="preserve">: </w:t>
      </w:r>
      <w:hyperlink r:id="rId13">
        <w:r>
          <w:rPr>
            <w:rStyle w:val="Hyperlink"/>
            <w:rFonts w:ascii="Times New Roman" w:hAnsi="Times New Roman" w:cs="Times New Roman"/>
            <w:lang w:val="es-ES"/>
          </w:rPr>
          <w:t>https://orcid.org/0000-0003-4898-4494</w:t>
        </w:r>
      </w:hyperlink>
      <w:r>
        <w:rPr>
          <w:rFonts w:ascii="Times New Roman" w:hAnsi="Times New Roman" w:cs="Times New Roman"/>
          <w:lang w:val="es-ES"/>
        </w:rPr>
        <w:t xml:space="preserve"> // </w:t>
      </w:r>
      <w:hyperlink r:id="rId14">
        <w:r>
          <w:rPr>
            <w:rStyle w:val="Hyperlink"/>
            <w:rFonts w:ascii="Times New Roman" w:hAnsi="Times New Roman" w:cs="Times New Roman"/>
            <w:lang w:val="es-ES"/>
          </w:rPr>
          <w:t>felipe.libran-embid@allzool.bio.uni-giessen.de</w:t>
        </w:r>
      </w:hyperlink>
      <w:r>
        <w:rPr>
          <w:rFonts w:ascii="Times New Roman" w:hAnsi="Times New Roman" w:cs="Times New Roman"/>
          <w:lang w:val="es-ES"/>
        </w:rPr>
        <w:t xml:space="preserve"> </w:t>
      </w:r>
    </w:p>
    <w:p w14:paraId="67FDB491" w14:textId="77777777" w:rsidR="00ED3D4B" w:rsidRDefault="00B13086">
      <w:pPr>
        <w:spacing w:line="360" w:lineRule="auto"/>
        <w:jc w:val="both"/>
        <w:rPr>
          <w:rFonts w:ascii="Times New Roman" w:hAnsi="Times New Roman" w:cs="Times New Roman"/>
          <w:lang w:val="de-DE"/>
        </w:rPr>
      </w:pPr>
      <w:r>
        <w:rPr>
          <w:rFonts w:ascii="Times New Roman" w:hAnsi="Times New Roman" w:cs="Times New Roman"/>
          <w:lang w:val="de-DE"/>
        </w:rPr>
        <w:t>Elisabeth Prangel</w:t>
      </w:r>
      <w:r>
        <w:rPr>
          <w:rFonts w:ascii="Times New Roman" w:hAnsi="Times New Roman" w:cs="Times New Roman"/>
          <w:vertAlign w:val="superscript"/>
          <w:lang w:val="de-DE"/>
        </w:rPr>
        <w:t>4</w:t>
      </w:r>
      <w:r>
        <w:rPr>
          <w:rFonts w:ascii="Times New Roman" w:hAnsi="Times New Roman" w:cs="Times New Roman"/>
          <w:lang w:val="de-DE"/>
        </w:rPr>
        <w:t xml:space="preserve">: </w:t>
      </w:r>
      <w:hyperlink r:id="rId15">
        <w:r>
          <w:rPr>
            <w:rStyle w:val="Hyperlink"/>
            <w:rFonts w:ascii="Times New Roman" w:hAnsi="Times New Roman" w:cs="Times New Roman"/>
            <w:lang w:val="de-DE"/>
          </w:rPr>
          <w:t>https://orcid.org/0000-0003-0776-5017 //</w:t>
        </w:r>
      </w:hyperlink>
      <w:r>
        <w:rPr>
          <w:rFonts w:ascii="Times New Roman" w:hAnsi="Times New Roman" w:cs="Times New Roman"/>
          <w:lang w:val="de-DE"/>
        </w:rPr>
        <w:t xml:space="preserve">     </w:t>
      </w:r>
      <w:hyperlink r:id="rId16">
        <w:r>
          <w:rPr>
            <w:rStyle w:val="Hyperlink"/>
            <w:rFonts w:ascii="Times New Roman" w:hAnsi="Times New Roman" w:cs="Times New Roman"/>
            <w:lang w:val="de-DE"/>
          </w:rPr>
          <w:t>elisabeth.prangel@ut.ee</w:t>
        </w:r>
      </w:hyperlink>
      <w:r>
        <w:rPr>
          <w:rStyle w:val="Hyperlink"/>
          <w:rFonts w:ascii="Times New Roman" w:hAnsi="Times New Roman" w:cs="Times New Roman"/>
          <w:lang w:val="de-DE"/>
        </w:rPr>
        <w:t xml:space="preserve"> </w:t>
      </w:r>
    </w:p>
    <w:p w14:paraId="0B04FC57" w14:textId="77777777" w:rsidR="00ED3D4B" w:rsidRDefault="00B13086">
      <w:pPr>
        <w:spacing w:line="360" w:lineRule="auto"/>
        <w:jc w:val="both"/>
        <w:rPr>
          <w:rFonts w:ascii="Times New Roman" w:hAnsi="Times New Roman" w:cs="Times New Roman"/>
          <w:lang w:val="it-IT"/>
        </w:rPr>
      </w:pPr>
      <w:r>
        <w:rPr>
          <w:rFonts w:ascii="Times New Roman" w:hAnsi="Times New Roman" w:cs="Times New Roman"/>
          <w:lang w:val="it-IT"/>
        </w:rPr>
        <w:t>Jelle Devalez</w:t>
      </w:r>
      <w:r>
        <w:rPr>
          <w:rFonts w:ascii="Times New Roman" w:hAnsi="Times New Roman" w:cs="Times New Roman"/>
          <w:vertAlign w:val="superscript"/>
          <w:lang w:val="it-IT"/>
        </w:rPr>
        <w:t>4</w:t>
      </w:r>
      <w:r>
        <w:rPr>
          <w:rFonts w:ascii="Times New Roman" w:hAnsi="Times New Roman" w:cs="Times New Roman"/>
          <w:lang w:val="it-IT"/>
        </w:rPr>
        <w:t xml:space="preserve">: </w:t>
      </w:r>
      <w:hyperlink r:id="rId17">
        <w:r>
          <w:rPr>
            <w:rStyle w:val="Hyperlink"/>
            <w:rFonts w:ascii="Times New Roman" w:hAnsi="Times New Roman" w:cs="Times New Roman"/>
            <w:lang w:val="it-IT"/>
          </w:rPr>
          <w:t>https://orcid.org/0000-0003-1110-0640</w:t>
        </w:r>
      </w:hyperlink>
      <w:r>
        <w:rPr>
          <w:rFonts w:ascii="Times New Roman" w:hAnsi="Times New Roman" w:cs="Times New Roman"/>
          <w:lang w:val="it-IT"/>
        </w:rPr>
        <w:t xml:space="preserve">. // </w:t>
      </w:r>
      <w:hyperlink r:id="rId18">
        <w:r>
          <w:rPr>
            <w:rStyle w:val="Hyperlink"/>
            <w:rFonts w:ascii="Times New Roman" w:hAnsi="Times New Roman" w:cs="Times New Roman"/>
            <w:lang w:val="it-IT"/>
          </w:rPr>
          <w:t>jelle.devalez@gmail.com</w:t>
        </w:r>
      </w:hyperlink>
      <w:r>
        <w:rPr>
          <w:rFonts w:ascii="Times New Roman" w:hAnsi="Times New Roman" w:cs="Times New Roman"/>
          <w:lang w:val="it-IT"/>
        </w:rPr>
        <w:t xml:space="preserve"> </w:t>
      </w:r>
    </w:p>
    <w:p w14:paraId="59514B07" w14:textId="77777777" w:rsidR="00ED3D4B" w:rsidRDefault="00B13086">
      <w:pPr>
        <w:spacing w:line="360" w:lineRule="auto"/>
        <w:jc w:val="both"/>
        <w:rPr>
          <w:rFonts w:ascii="Times New Roman" w:hAnsi="Times New Roman" w:cs="Times New Roman"/>
          <w:lang w:val="nl-NL"/>
        </w:rPr>
      </w:pPr>
      <w:bookmarkStart w:id="1" w:name="_Hlk207472791"/>
      <w:r>
        <w:rPr>
          <w:rFonts w:ascii="Times New Roman" w:hAnsi="Times New Roman" w:cs="Times New Roman"/>
          <w:lang w:val="nl-NL"/>
        </w:rPr>
        <w:t>Tanel Vahter</w:t>
      </w:r>
      <w:bookmarkEnd w:id="1"/>
      <w:r>
        <w:rPr>
          <w:rFonts w:ascii="Times New Roman" w:hAnsi="Times New Roman" w:cs="Times New Roman"/>
          <w:vertAlign w:val="superscript"/>
          <w:lang w:val="nl-NL"/>
        </w:rPr>
        <w:t>4</w:t>
      </w:r>
      <w:r>
        <w:rPr>
          <w:rFonts w:ascii="Times New Roman" w:hAnsi="Times New Roman" w:cs="Times New Roman"/>
          <w:lang w:val="nl-NL"/>
        </w:rPr>
        <w:t xml:space="preserve">: </w:t>
      </w:r>
      <w:hyperlink r:id="rId19">
        <w:r>
          <w:rPr>
            <w:rStyle w:val="Hyperlink"/>
            <w:rFonts w:ascii="Times New Roman" w:hAnsi="Times New Roman" w:cs="Times New Roman"/>
            <w:lang w:val="nl-NL"/>
          </w:rPr>
          <w:t>https://orcid.org/0000-0002-4343-5288 //</w:t>
        </w:r>
      </w:hyperlink>
      <w:r>
        <w:rPr>
          <w:rFonts w:ascii="Times New Roman" w:hAnsi="Times New Roman" w:cs="Times New Roman"/>
          <w:lang w:val="nl-NL"/>
        </w:rPr>
        <w:t xml:space="preserve"> </w:t>
      </w:r>
      <w:hyperlink r:id="rId20">
        <w:r>
          <w:rPr>
            <w:rStyle w:val="Hyperlink"/>
            <w:rFonts w:ascii="Times New Roman" w:hAnsi="Times New Roman" w:cs="Times New Roman"/>
            <w:lang w:val="nl-NL"/>
          </w:rPr>
          <w:t>tanel.vahter@ut.ee</w:t>
        </w:r>
      </w:hyperlink>
      <w:r>
        <w:rPr>
          <w:rFonts w:ascii="Times New Roman" w:hAnsi="Times New Roman" w:cs="Times New Roman"/>
          <w:lang w:val="nl-NL"/>
        </w:rPr>
        <w:t xml:space="preserve"> </w:t>
      </w:r>
    </w:p>
    <w:p w14:paraId="1EB838F1" w14:textId="77777777" w:rsidR="00ED3D4B" w:rsidRPr="007E1B57" w:rsidRDefault="00B13086">
      <w:pPr>
        <w:spacing w:line="360" w:lineRule="auto"/>
        <w:rPr>
          <w:rFonts w:cs="Calibri"/>
          <w:lang w:val="pt-BR"/>
        </w:rPr>
      </w:pPr>
      <w:bookmarkStart w:id="2" w:name="_Hlk207472803"/>
      <w:r w:rsidRPr="007E1B57">
        <w:rPr>
          <w:rFonts w:ascii="Times New Roman" w:hAnsi="Times New Roman" w:cs="Times New Roman"/>
          <w:lang w:val="nl-NL"/>
        </w:rPr>
        <w:t>Aveliina Helm</w:t>
      </w:r>
      <w:bookmarkEnd w:id="2"/>
      <w:r w:rsidRPr="007E1B57">
        <w:rPr>
          <w:rFonts w:ascii="Times New Roman" w:hAnsi="Times New Roman" w:cs="Times New Roman"/>
          <w:vertAlign w:val="superscript"/>
          <w:lang w:val="nl-NL"/>
        </w:rPr>
        <w:t>4</w:t>
      </w:r>
      <w:r w:rsidRPr="007E1B57">
        <w:rPr>
          <w:rFonts w:ascii="Times New Roman" w:hAnsi="Times New Roman" w:cs="Times New Roman"/>
          <w:lang w:val="nl-NL"/>
        </w:rPr>
        <w:t xml:space="preserve"> :</w:t>
      </w:r>
      <w:r w:rsidRPr="007E1B57">
        <w:rPr>
          <w:lang w:val="nl-NL"/>
        </w:rPr>
        <w:t xml:space="preserve"> </w:t>
      </w:r>
      <w:hyperlink r:id="rId21">
        <w:r w:rsidRPr="007E1B57">
          <w:rPr>
            <w:rStyle w:val="Hyperlink"/>
            <w:rFonts w:ascii="Times New Roman" w:hAnsi="Times New Roman" w:cs="Times New Roman"/>
            <w:lang w:val="pt-BR"/>
          </w:rPr>
          <w:t>https://orcid.org/0000-0003-2338-4564 //</w:t>
        </w:r>
      </w:hyperlink>
      <w:r w:rsidRPr="007E1B57">
        <w:rPr>
          <w:rFonts w:ascii="Times New Roman" w:hAnsi="Times New Roman" w:cs="Times New Roman"/>
          <w:lang w:val="nl-NL"/>
        </w:rPr>
        <w:t xml:space="preserve"> </w:t>
      </w:r>
      <w:hyperlink r:id="rId22">
        <w:r w:rsidRPr="007E1B57">
          <w:rPr>
            <w:rStyle w:val="Hyperlink"/>
            <w:rFonts w:cs="Calibri"/>
            <w:lang w:val="pt-BR"/>
          </w:rPr>
          <w:t>aveliina.helm@ut.ee</w:t>
        </w:r>
      </w:hyperlink>
      <w:r w:rsidRPr="007E1B57">
        <w:rPr>
          <w:rFonts w:cs="Calibri"/>
          <w:lang w:val="nl-NL"/>
        </w:rPr>
        <w:t xml:space="preserve"> </w:t>
      </w:r>
    </w:p>
    <w:p w14:paraId="1C6D3086" w14:textId="77777777" w:rsidR="00ED3D4B" w:rsidRDefault="00B13086">
      <w:pPr>
        <w:spacing w:line="360" w:lineRule="auto"/>
        <w:jc w:val="both"/>
        <w:rPr>
          <w:rFonts w:ascii="Times New Roman" w:hAnsi="Times New Roman" w:cs="Times New Roman"/>
          <w:vertAlign w:val="superscript"/>
          <w:lang w:val="de-DE"/>
        </w:rPr>
      </w:pPr>
      <w:r>
        <w:rPr>
          <w:rFonts w:ascii="Times New Roman" w:hAnsi="Times New Roman" w:cs="Times New Roman"/>
          <w:lang w:val="de-DE"/>
        </w:rPr>
        <w:t>Triin Reitalu</w:t>
      </w:r>
      <w:r>
        <w:rPr>
          <w:rFonts w:ascii="Times New Roman" w:hAnsi="Times New Roman" w:cs="Times New Roman"/>
          <w:vertAlign w:val="superscript"/>
          <w:lang w:val="de-DE"/>
        </w:rPr>
        <w:t>4,5</w:t>
      </w:r>
      <w:r>
        <w:rPr>
          <w:rFonts w:ascii="Times New Roman" w:hAnsi="Times New Roman" w:cs="Times New Roman"/>
          <w:lang w:val="de-DE"/>
        </w:rPr>
        <w:t xml:space="preserve">: </w:t>
      </w:r>
      <w:hyperlink r:id="rId23">
        <w:r>
          <w:rPr>
            <w:rStyle w:val="Hyperlink"/>
            <w:rFonts w:ascii="Times New Roman" w:hAnsi="Times New Roman" w:cs="Times New Roman"/>
            <w:lang w:val="de-DE"/>
          </w:rPr>
          <w:t>https://orcid.org/0000-0002-6555-3066 //</w:t>
        </w:r>
      </w:hyperlink>
      <w:r>
        <w:rPr>
          <w:rFonts w:ascii="Times New Roman" w:hAnsi="Times New Roman" w:cs="Times New Roman"/>
          <w:lang w:val="de-DE"/>
        </w:rPr>
        <w:t xml:space="preserve"> </w:t>
      </w:r>
      <w:hyperlink r:id="rId24">
        <w:r>
          <w:rPr>
            <w:rStyle w:val="Hyperlink"/>
            <w:rFonts w:ascii="Times New Roman" w:hAnsi="Times New Roman" w:cs="Times New Roman"/>
            <w:lang w:val="de-DE"/>
          </w:rPr>
          <w:t>triin.reitalu@ut.ee</w:t>
        </w:r>
      </w:hyperlink>
      <w:r>
        <w:rPr>
          <w:rFonts w:ascii="Times New Roman" w:hAnsi="Times New Roman" w:cs="Times New Roman"/>
          <w:lang w:val="de-DE"/>
        </w:rPr>
        <w:t xml:space="preserve"> </w:t>
      </w:r>
    </w:p>
    <w:p w14:paraId="23EB3649" w14:textId="77777777" w:rsidR="00ED3D4B" w:rsidRDefault="00B13086">
      <w:pPr>
        <w:spacing w:line="360" w:lineRule="auto"/>
        <w:jc w:val="both"/>
        <w:rPr>
          <w:rFonts w:ascii="Times New Roman" w:hAnsi="Times New Roman" w:cs="Times New Roman"/>
          <w:lang w:val="de-DE"/>
        </w:rPr>
      </w:pPr>
      <w:r>
        <w:rPr>
          <w:rFonts w:ascii="Times New Roman" w:hAnsi="Times New Roman" w:cs="Times New Roman"/>
          <w:lang w:val="de-DE"/>
        </w:rPr>
        <w:t>Gerard Bota</w:t>
      </w:r>
      <w:r>
        <w:rPr>
          <w:rFonts w:ascii="Times New Roman" w:hAnsi="Times New Roman" w:cs="Times New Roman"/>
          <w:vertAlign w:val="superscript"/>
          <w:lang w:val="de-DE"/>
        </w:rPr>
        <w:t>6</w:t>
      </w:r>
      <w:r>
        <w:rPr>
          <w:rFonts w:ascii="Times New Roman" w:hAnsi="Times New Roman" w:cs="Times New Roman"/>
          <w:lang w:val="de-DE"/>
        </w:rPr>
        <w:t xml:space="preserve">, </w:t>
      </w:r>
      <w:hyperlink r:id="rId25">
        <w:r>
          <w:rPr>
            <w:rStyle w:val="Hyperlink"/>
            <w:rFonts w:ascii="Times New Roman" w:hAnsi="Times New Roman" w:cs="Times New Roman"/>
            <w:lang w:val="de-DE"/>
          </w:rPr>
          <w:t>https://orcid.org/0000-0001-9020-7272 //</w:t>
        </w:r>
      </w:hyperlink>
      <w:r>
        <w:rPr>
          <w:rFonts w:ascii="Times New Roman" w:hAnsi="Times New Roman" w:cs="Times New Roman"/>
          <w:lang w:val="de-DE"/>
        </w:rPr>
        <w:t xml:space="preserve"> </w:t>
      </w:r>
      <w:hyperlink r:id="rId26">
        <w:r>
          <w:rPr>
            <w:rStyle w:val="Hyperlink"/>
            <w:rFonts w:ascii="Times New Roman" w:hAnsi="Times New Roman" w:cs="Times New Roman"/>
            <w:lang w:val="de-DE"/>
          </w:rPr>
          <w:t>gerard.bota@ctfc.cat</w:t>
        </w:r>
      </w:hyperlink>
      <w:r>
        <w:rPr>
          <w:rFonts w:ascii="Times New Roman" w:hAnsi="Times New Roman" w:cs="Times New Roman"/>
          <w:lang w:val="de-DE"/>
        </w:rPr>
        <w:t xml:space="preserve"> </w:t>
      </w:r>
    </w:p>
    <w:p w14:paraId="118E4B70" w14:textId="77777777" w:rsidR="00ED3D4B" w:rsidRDefault="00B13086">
      <w:pPr>
        <w:spacing w:line="360" w:lineRule="auto"/>
        <w:jc w:val="both"/>
        <w:rPr>
          <w:rFonts w:ascii="Times New Roman" w:hAnsi="Times New Roman" w:cs="Times New Roman"/>
          <w:lang w:val="es-ES"/>
        </w:rPr>
      </w:pPr>
      <w:r>
        <w:rPr>
          <w:rFonts w:ascii="Times New Roman" w:hAnsi="Times New Roman" w:cs="Times New Roman"/>
          <w:lang w:val="es-ES"/>
        </w:rPr>
        <w:t>Xabier Cabodevilla</w:t>
      </w:r>
      <w:r>
        <w:rPr>
          <w:rFonts w:ascii="Times New Roman" w:hAnsi="Times New Roman" w:cs="Times New Roman"/>
          <w:vertAlign w:val="superscript"/>
          <w:lang w:val="es-ES"/>
        </w:rPr>
        <w:t>6,7</w:t>
      </w:r>
      <w:r>
        <w:rPr>
          <w:rFonts w:ascii="Times New Roman" w:hAnsi="Times New Roman" w:cs="Times New Roman"/>
          <w:lang w:val="es-ES"/>
        </w:rPr>
        <w:t xml:space="preserve">: </w:t>
      </w:r>
      <w:hyperlink r:id="rId27">
        <w:r>
          <w:rPr>
            <w:rStyle w:val="Hyperlink"/>
            <w:rFonts w:ascii="Times New Roman" w:hAnsi="Times New Roman" w:cs="Times New Roman"/>
            <w:lang w:val="es-ES"/>
          </w:rPr>
          <w:t>https://orcid.org/0000-0002-5793-7916 //</w:t>
        </w:r>
      </w:hyperlink>
      <w:r>
        <w:rPr>
          <w:rFonts w:ascii="Times New Roman" w:hAnsi="Times New Roman" w:cs="Times New Roman"/>
          <w:lang w:val="es-ES"/>
        </w:rPr>
        <w:t xml:space="preserve"> </w:t>
      </w:r>
      <w:hyperlink r:id="rId28">
        <w:r>
          <w:rPr>
            <w:rStyle w:val="Hyperlink"/>
            <w:rFonts w:ascii="Times New Roman" w:hAnsi="Times New Roman" w:cs="Times New Roman"/>
            <w:lang w:val="es-ES"/>
          </w:rPr>
          <w:t>xabier.cabodevilla@ehu.eus</w:t>
        </w:r>
      </w:hyperlink>
      <w:r>
        <w:rPr>
          <w:rFonts w:ascii="Times New Roman" w:hAnsi="Times New Roman" w:cs="Times New Roman"/>
          <w:lang w:val="es-ES"/>
        </w:rPr>
        <w:t xml:space="preserve"> </w:t>
      </w:r>
    </w:p>
    <w:p w14:paraId="1AF0D504" w14:textId="77777777" w:rsidR="00ED3D4B" w:rsidRDefault="00B13086">
      <w:pPr>
        <w:spacing w:line="360" w:lineRule="auto"/>
        <w:jc w:val="both"/>
        <w:rPr>
          <w:rFonts w:ascii="Times New Roman" w:hAnsi="Times New Roman" w:cs="Times New Roman"/>
          <w:lang w:val="it-IT"/>
        </w:rPr>
      </w:pPr>
      <w:r>
        <w:rPr>
          <w:rFonts w:ascii="Times New Roman" w:hAnsi="Times New Roman" w:cs="Times New Roman"/>
          <w:lang w:val="it-IT"/>
        </w:rPr>
        <w:t>David Giralt</w:t>
      </w:r>
      <w:r>
        <w:rPr>
          <w:rFonts w:ascii="Times New Roman" w:hAnsi="Times New Roman" w:cs="Times New Roman"/>
          <w:vertAlign w:val="superscript"/>
          <w:lang w:val="it-IT"/>
        </w:rPr>
        <w:t>6</w:t>
      </w:r>
      <w:r>
        <w:rPr>
          <w:rFonts w:ascii="Times New Roman" w:hAnsi="Times New Roman" w:cs="Times New Roman"/>
          <w:lang w:val="it-IT"/>
        </w:rPr>
        <w:t xml:space="preserve">: </w:t>
      </w:r>
      <w:hyperlink r:id="rId29">
        <w:r>
          <w:rPr>
            <w:rStyle w:val="Hyperlink"/>
            <w:rFonts w:ascii="Times New Roman" w:hAnsi="Times New Roman" w:cs="Times New Roman"/>
            <w:lang w:val="it-IT"/>
          </w:rPr>
          <w:t>https://orcid.org/0000-0001-9712-1957 //</w:t>
        </w:r>
      </w:hyperlink>
      <w:r>
        <w:rPr>
          <w:rFonts w:ascii="Times New Roman" w:hAnsi="Times New Roman" w:cs="Times New Roman"/>
          <w:lang w:val="it-IT"/>
        </w:rPr>
        <w:t xml:space="preserve"> </w:t>
      </w:r>
      <w:hyperlink r:id="rId30">
        <w:r>
          <w:rPr>
            <w:rStyle w:val="Hyperlink"/>
            <w:rFonts w:ascii="Times New Roman" w:hAnsi="Times New Roman" w:cs="Times New Roman"/>
            <w:lang w:val="it-IT"/>
          </w:rPr>
          <w:t>david.giralt@ctfc.cat</w:t>
        </w:r>
      </w:hyperlink>
      <w:r>
        <w:rPr>
          <w:rFonts w:ascii="Times New Roman" w:hAnsi="Times New Roman" w:cs="Times New Roman"/>
          <w:lang w:val="it-IT"/>
        </w:rPr>
        <w:t xml:space="preserve"> </w:t>
      </w:r>
    </w:p>
    <w:p w14:paraId="2428BF50" w14:textId="77777777" w:rsidR="00ED3D4B" w:rsidRDefault="00B13086">
      <w:pPr>
        <w:spacing w:line="360" w:lineRule="auto"/>
        <w:jc w:val="both"/>
        <w:rPr>
          <w:rFonts w:ascii="Times New Roman" w:hAnsi="Times New Roman" w:cs="Times New Roman"/>
          <w:lang w:val="it-IT"/>
        </w:rPr>
      </w:pPr>
      <w:r>
        <w:rPr>
          <w:rFonts w:ascii="Times New Roman" w:hAnsi="Times New Roman" w:cs="Times New Roman"/>
          <w:lang w:val="it-IT"/>
        </w:rPr>
        <w:t>Jordi Artola</w:t>
      </w:r>
      <w:r>
        <w:rPr>
          <w:rFonts w:ascii="Times New Roman" w:hAnsi="Times New Roman" w:cs="Times New Roman"/>
          <w:vertAlign w:val="superscript"/>
          <w:lang w:val="it-IT"/>
        </w:rPr>
        <w:t>6</w:t>
      </w:r>
      <w:r>
        <w:rPr>
          <w:rFonts w:ascii="Times New Roman" w:hAnsi="Times New Roman" w:cs="Times New Roman"/>
          <w:lang w:val="it-IT"/>
        </w:rPr>
        <w:t xml:space="preserve">: </w:t>
      </w:r>
      <w:hyperlink r:id="rId31">
        <w:r>
          <w:rPr>
            <w:rStyle w:val="Hyperlink"/>
            <w:rFonts w:ascii="Times New Roman" w:hAnsi="Times New Roman" w:cs="Times New Roman"/>
            <w:lang w:val="it-IT"/>
          </w:rPr>
          <w:t>https://orcid.org/0009-0009-9500-7769 //</w:t>
        </w:r>
      </w:hyperlink>
      <w:r>
        <w:rPr>
          <w:rFonts w:ascii="Times New Roman" w:hAnsi="Times New Roman" w:cs="Times New Roman"/>
          <w:lang w:val="it-IT"/>
        </w:rPr>
        <w:t xml:space="preserve"> </w:t>
      </w:r>
      <w:hyperlink r:id="rId32">
        <w:r>
          <w:rPr>
            <w:rStyle w:val="Hyperlink"/>
            <w:rFonts w:ascii="Times New Roman" w:hAnsi="Times New Roman" w:cs="Times New Roman"/>
            <w:lang w:val="it-IT"/>
          </w:rPr>
          <w:t>jordiartola@dorcusnatura.cat</w:t>
        </w:r>
      </w:hyperlink>
      <w:r>
        <w:rPr>
          <w:rFonts w:ascii="Times New Roman" w:hAnsi="Times New Roman" w:cs="Times New Roman"/>
          <w:lang w:val="it-IT"/>
        </w:rPr>
        <w:t xml:space="preserve"> </w:t>
      </w:r>
    </w:p>
    <w:p w14:paraId="1C8FC961" w14:textId="77777777" w:rsidR="00ED3D4B" w:rsidRDefault="00B13086">
      <w:pPr>
        <w:spacing w:line="360" w:lineRule="auto"/>
        <w:jc w:val="both"/>
        <w:rPr>
          <w:rFonts w:ascii="Times New Roman" w:hAnsi="Times New Roman" w:cs="Times New Roman"/>
          <w:lang w:val="es-ES"/>
        </w:rPr>
      </w:pPr>
      <w:r>
        <w:rPr>
          <w:rFonts w:ascii="Times New Roman" w:hAnsi="Times New Roman" w:cs="Times New Roman"/>
          <w:lang w:val="es-ES"/>
        </w:rPr>
        <w:t>Juan Traba</w:t>
      </w:r>
      <w:r>
        <w:rPr>
          <w:rFonts w:ascii="Times New Roman" w:hAnsi="Times New Roman" w:cs="Times New Roman"/>
          <w:vertAlign w:val="superscript"/>
          <w:lang w:val="es-ES"/>
        </w:rPr>
        <w:t>8</w:t>
      </w:r>
      <w:r>
        <w:rPr>
          <w:rFonts w:ascii="Times New Roman" w:hAnsi="Times New Roman" w:cs="Times New Roman"/>
          <w:lang w:val="es-ES"/>
        </w:rPr>
        <w:t xml:space="preserve">: </w:t>
      </w:r>
      <w:hyperlink r:id="rId33">
        <w:r>
          <w:rPr>
            <w:rStyle w:val="Hyperlink"/>
            <w:rFonts w:ascii="Times New Roman" w:hAnsi="Times New Roman" w:cs="Times New Roman"/>
            <w:lang w:val="es-ES"/>
          </w:rPr>
          <w:t>https://orcid.org/0000-0001-6326-8942 //</w:t>
        </w:r>
      </w:hyperlink>
      <w:r>
        <w:rPr>
          <w:rFonts w:ascii="Times New Roman" w:hAnsi="Times New Roman" w:cs="Times New Roman"/>
          <w:lang w:val="es-ES"/>
        </w:rPr>
        <w:t xml:space="preserve"> </w:t>
      </w:r>
      <w:hyperlink r:id="rId34">
        <w:r>
          <w:rPr>
            <w:rStyle w:val="Hyperlink"/>
            <w:rFonts w:ascii="Times New Roman" w:hAnsi="Times New Roman" w:cs="Times New Roman"/>
            <w:lang w:val="es-ES"/>
          </w:rPr>
          <w:t>juan.traba@uam.es</w:t>
        </w:r>
      </w:hyperlink>
      <w:r>
        <w:rPr>
          <w:rFonts w:ascii="Times New Roman" w:hAnsi="Times New Roman" w:cs="Times New Roman"/>
          <w:lang w:val="es-ES"/>
        </w:rPr>
        <w:t xml:space="preserve"> </w:t>
      </w:r>
    </w:p>
    <w:p w14:paraId="532D404A" w14:textId="77777777" w:rsidR="00ED3D4B" w:rsidRDefault="00B13086">
      <w:pPr>
        <w:spacing w:line="360" w:lineRule="auto"/>
        <w:jc w:val="both"/>
        <w:rPr>
          <w:rFonts w:ascii="Times New Roman" w:hAnsi="Times New Roman" w:cs="Times New Roman"/>
        </w:rPr>
      </w:pPr>
      <w:r>
        <w:rPr>
          <w:rFonts w:ascii="Times New Roman" w:hAnsi="Times New Roman" w:cs="Times New Roman"/>
        </w:rPr>
        <w:t>Evan Taylor Sloan</w:t>
      </w:r>
      <w:r>
        <w:rPr>
          <w:rFonts w:ascii="Times New Roman" w:hAnsi="Times New Roman" w:cs="Times New Roman"/>
          <w:vertAlign w:val="superscript"/>
        </w:rPr>
        <w:t>9</w:t>
      </w:r>
      <w:r>
        <w:rPr>
          <w:rFonts w:ascii="Times New Roman" w:hAnsi="Times New Roman" w:cs="Times New Roman"/>
        </w:rPr>
        <w:t xml:space="preserve">: </w:t>
      </w:r>
      <w:hyperlink r:id="rId35">
        <w:r>
          <w:rPr>
            <w:rStyle w:val="Hyperlink"/>
            <w:rFonts w:ascii="Times New Roman" w:hAnsi="Times New Roman" w:cs="Times New Roman"/>
          </w:rPr>
          <w:t>https://orcid.org/0000-0002-5194-076X</w:t>
        </w:r>
      </w:hyperlink>
      <w:r>
        <w:rPr>
          <w:rFonts w:ascii="Times New Roman" w:hAnsi="Times New Roman" w:cs="Times New Roman"/>
        </w:rPr>
        <w:t xml:space="preserve">  // </w:t>
      </w:r>
      <w:hyperlink r:id="rId36">
        <w:r>
          <w:rPr>
            <w:rStyle w:val="Hyperlink"/>
            <w:rFonts w:ascii="Times New Roman" w:hAnsi="Times New Roman" w:cs="Times New Roman"/>
          </w:rPr>
          <w:t>evantaylor.sloan@kuleuven.be</w:t>
        </w:r>
      </w:hyperlink>
      <w:r>
        <w:rPr>
          <w:rFonts w:ascii="Times New Roman" w:hAnsi="Times New Roman" w:cs="Times New Roman"/>
        </w:rPr>
        <w:t xml:space="preserve"> </w:t>
      </w:r>
    </w:p>
    <w:p w14:paraId="0A083D9D" w14:textId="7456E26E" w:rsidR="00ED3D4B" w:rsidRDefault="00B13086">
      <w:pPr>
        <w:spacing w:line="360" w:lineRule="auto"/>
        <w:jc w:val="both"/>
        <w:rPr>
          <w:rFonts w:ascii="Times New Roman" w:hAnsi="Times New Roman" w:cs="Times New Roman"/>
          <w:lang w:val="fr-BE"/>
        </w:rPr>
      </w:pPr>
      <w:bookmarkStart w:id="3" w:name="_Hlk207472962"/>
      <w:r w:rsidRPr="007E1B57">
        <w:rPr>
          <w:rFonts w:ascii="Times New Roman" w:hAnsi="Times New Roman" w:cs="Times New Roman"/>
          <w:lang w:val="fr-BE"/>
        </w:rPr>
        <w:t>Hans Jacquemyn</w:t>
      </w:r>
      <w:bookmarkEnd w:id="3"/>
      <w:r w:rsidRPr="007E1B57">
        <w:rPr>
          <w:rFonts w:ascii="Times New Roman" w:hAnsi="Times New Roman" w:cs="Times New Roman"/>
          <w:vertAlign w:val="superscript"/>
          <w:lang w:val="fr-BE"/>
        </w:rPr>
        <w:t>9</w:t>
      </w:r>
      <w:r w:rsidRPr="007E1B57">
        <w:rPr>
          <w:rFonts w:ascii="Times New Roman" w:hAnsi="Times New Roman" w:cs="Times New Roman"/>
          <w:lang w:val="fr-BE"/>
        </w:rPr>
        <w:t xml:space="preserve">: </w:t>
      </w:r>
      <w:hyperlink r:id="rId37">
        <w:r>
          <w:rPr>
            <w:rStyle w:val="Hyperlink"/>
            <w:rFonts w:ascii="Times New Roman" w:hAnsi="Times New Roman" w:cs="Times New Roman"/>
            <w:lang w:val="fr-BE"/>
          </w:rPr>
          <w:t>https://orcid.org/0000-0001-9600-5794 //</w:t>
        </w:r>
      </w:hyperlink>
      <w:r w:rsidRPr="007E1B57">
        <w:rPr>
          <w:rFonts w:ascii="Times New Roman" w:hAnsi="Times New Roman" w:cs="Times New Roman"/>
          <w:lang w:val="fr-BE"/>
        </w:rPr>
        <w:t xml:space="preserve"> </w:t>
      </w:r>
      <w:hyperlink r:id="rId38"/>
      <w:hyperlink r:id="rId39" w:history="1">
        <w:r w:rsidR="00CA28B7" w:rsidRPr="000B0228">
          <w:rPr>
            <w:rStyle w:val="Hyperlink"/>
            <w:rFonts w:ascii="Times New Roman" w:hAnsi="Times New Roman" w:cs="Times New Roman"/>
            <w:lang w:val="fr-BE"/>
          </w:rPr>
          <w:t>hans.jacquemyn@kuleuven.be</w:t>
        </w:r>
      </w:hyperlink>
      <w:r w:rsidR="00CA28B7">
        <w:rPr>
          <w:rFonts w:ascii="Times New Roman" w:hAnsi="Times New Roman" w:cs="Times New Roman"/>
          <w:lang w:val="fr-BE"/>
        </w:rPr>
        <w:t xml:space="preserve"> </w:t>
      </w:r>
    </w:p>
    <w:p w14:paraId="793064A2" w14:textId="77777777" w:rsidR="00ED3D4B" w:rsidRDefault="00B13086">
      <w:pPr>
        <w:spacing w:line="360" w:lineRule="auto"/>
        <w:jc w:val="both"/>
        <w:rPr>
          <w:rFonts w:ascii="Times New Roman" w:hAnsi="Times New Roman" w:cs="Times New Roman"/>
          <w:lang w:val="de-DE"/>
        </w:rPr>
      </w:pPr>
      <w:r w:rsidRPr="007E1B57">
        <w:rPr>
          <w:rFonts w:ascii="Times New Roman" w:hAnsi="Times New Roman" w:cs="Times New Roman"/>
          <w:lang w:val="nl-NL"/>
        </w:rPr>
        <w:t>Alexander Keller</w:t>
      </w:r>
      <w:r w:rsidRPr="007E1B57">
        <w:rPr>
          <w:rFonts w:ascii="Times New Roman" w:hAnsi="Times New Roman" w:cs="Times New Roman"/>
          <w:vertAlign w:val="superscript"/>
          <w:lang w:val="nl-NL"/>
        </w:rPr>
        <w:t>10</w:t>
      </w:r>
      <w:r w:rsidRPr="007E1B57">
        <w:rPr>
          <w:rFonts w:ascii="Times New Roman" w:hAnsi="Times New Roman" w:cs="Times New Roman"/>
          <w:lang w:val="nl-NL"/>
        </w:rPr>
        <w:t xml:space="preserve">: </w:t>
      </w:r>
      <w:hyperlink r:id="rId40">
        <w:r>
          <w:rPr>
            <w:rStyle w:val="Hyperlink"/>
            <w:rFonts w:ascii="Times New Roman" w:hAnsi="Times New Roman" w:cs="Times New Roman"/>
            <w:lang w:val="de-DE"/>
          </w:rPr>
          <w:t>https://orcid.org/0000-0001-5716-3634</w:t>
        </w:r>
      </w:hyperlink>
      <w:r w:rsidRPr="007E1B57">
        <w:rPr>
          <w:rFonts w:ascii="Times New Roman" w:hAnsi="Times New Roman" w:cs="Times New Roman"/>
          <w:lang w:val="nl-NL"/>
        </w:rPr>
        <w:t xml:space="preserve">  // </w:t>
      </w:r>
      <w:hyperlink r:id="rId41">
        <w:r>
          <w:rPr>
            <w:rStyle w:val="Hyperlink"/>
            <w:rFonts w:ascii="Times New Roman" w:hAnsi="Times New Roman" w:cs="Times New Roman"/>
            <w:lang w:val="de-DE"/>
          </w:rPr>
          <w:t>keller@bio.lmu.de</w:t>
        </w:r>
      </w:hyperlink>
      <w:r w:rsidRPr="007E1B57">
        <w:rPr>
          <w:rFonts w:ascii="Times New Roman" w:hAnsi="Times New Roman" w:cs="Times New Roman"/>
          <w:lang w:val="nl-NL"/>
        </w:rPr>
        <w:t xml:space="preserve"> </w:t>
      </w:r>
    </w:p>
    <w:p w14:paraId="50918852" w14:textId="77777777" w:rsidR="00ED3D4B" w:rsidRDefault="00B13086">
      <w:pPr>
        <w:spacing w:line="360" w:lineRule="auto"/>
        <w:jc w:val="both"/>
        <w:rPr>
          <w:rFonts w:ascii="Times New Roman" w:hAnsi="Times New Roman" w:cs="Times New Roman"/>
          <w:lang w:val="nl-NL"/>
        </w:rPr>
      </w:pPr>
      <w:r>
        <w:rPr>
          <w:rFonts w:ascii="Times New Roman" w:hAnsi="Times New Roman" w:cs="Times New Roman"/>
          <w:lang w:val="nl-NL"/>
        </w:rPr>
        <w:t>David Kleijn</w:t>
      </w:r>
      <w:r>
        <w:rPr>
          <w:rFonts w:ascii="Times New Roman" w:hAnsi="Times New Roman" w:cs="Times New Roman"/>
          <w:vertAlign w:val="superscript"/>
          <w:lang w:val="nl-NL"/>
        </w:rPr>
        <w:t>2</w:t>
      </w:r>
      <w:r>
        <w:rPr>
          <w:rFonts w:ascii="Times New Roman" w:hAnsi="Times New Roman" w:cs="Times New Roman"/>
          <w:lang w:val="nl-NL"/>
        </w:rPr>
        <w:t xml:space="preserve">: </w:t>
      </w:r>
      <w:hyperlink r:id="rId42">
        <w:r>
          <w:rPr>
            <w:rStyle w:val="Hyperlink"/>
            <w:rFonts w:ascii="Times New Roman" w:hAnsi="Times New Roman" w:cs="Times New Roman"/>
            <w:lang w:val="nl-NL"/>
          </w:rPr>
          <w:t>https://orcid.org/0000-0003-2500-7164 //</w:t>
        </w:r>
      </w:hyperlink>
      <w:r>
        <w:rPr>
          <w:rFonts w:ascii="Times New Roman" w:hAnsi="Times New Roman" w:cs="Times New Roman"/>
          <w:lang w:val="nl-NL"/>
        </w:rPr>
        <w:t xml:space="preserve"> </w:t>
      </w:r>
      <w:hyperlink r:id="rId43">
        <w:r>
          <w:rPr>
            <w:rStyle w:val="Hyperlink"/>
            <w:rFonts w:ascii="Times New Roman" w:hAnsi="Times New Roman" w:cs="Times New Roman"/>
            <w:lang w:val="nl-NL"/>
          </w:rPr>
          <w:t>David.Kleijn@wur.nl</w:t>
        </w:r>
      </w:hyperlink>
      <w:r>
        <w:rPr>
          <w:rFonts w:ascii="Times New Roman" w:hAnsi="Times New Roman" w:cs="Times New Roman"/>
          <w:lang w:val="nl-NL"/>
        </w:rPr>
        <w:t xml:space="preserve"> </w:t>
      </w:r>
    </w:p>
    <w:p w14:paraId="43974891" w14:textId="3554FA65" w:rsidR="00CA28B7" w:rsidRDefault="00B13086">
      <w:pPr>
        <w:spacing w:line="360" w:lineRule="auto"/>
        <w:jc w:val="both"/>
        <w:rPr>
          <w:rFonts w:ascii="Times New Roman" w:hAnsi="Times New Roman" w:cs="Times New Roman"/>
          <w:lang w:val="de-DE"/>
        </w:rPr>
      </w:pPr>
      <w:r w:rsidRPr="007E1B57">
        <w:rPr>
          <w:rFonts w:ascii="Times New Roman" w:hAnsi="Times New Roman" w:cs="Times New Roman"/>
          <w:lang w:val="de-DE"/>
        </w:rPr>
        <w:lastRenderedPageBreak/>
        <w:t>Catrin Westphal</w:t>
      </w:r>
      <w:r w:rsidRPr="007E1B57">
        <w:rPr>
          <w:rFonts w:ascii="Times New Roman" w:hAnsi="Times New Roman" w:cs="Times New Roman"/>
          <w:vertAlign w:val="superscript"/>
          <w:lang w:val="de-DE"/>
        </w:rPr>
        <w:t>1</w:t>
      </w:r>
      <w:r w:rsidRPr="007E1B57">
        <w:rPr>
          <w:rFonts w:ascii="Times New Roman" w:hAnsi="Times New Roman" w:cs="Times New Roman"/>
          <w:lang w:val="de-DE"/>
        </w:rPr>
        <w:t>:</w:t>
      </w:r>
      <w:r>
        <w:rPr>
          <w:lang w:val="de-DE"/>
        </w:rPr>
        <w:t xml:space="preserve"> </w:t>
      </w:r>
      <w:hyperlink r:id="rId44" w:history="1">
        <w:r w:rsidR="00CA28B7" w:rsidRPr="000B0228">
          <w:rPr>
            <w:rStyle w:val="Hyperlink"/>
            <w:rFonts w:ascii="Times New Roman" w:hAnsi="Times New Roman" w:cs="Times New Roman"/>
            <w:lang w:val="de-DE"/>
          </w:rPr>
          <w:t>https://orcid.org/0000-0002-2615-1339 /</w:t>
        </w:r>
        <w:r w:rsidR="00CA28B7" w:rsidRPr="00CA28B7">
          <w:rPr>
            <w:rStyle w:val="Hyperlink"/>
            <w:rFonts w:ascii="Times New Roman" w:hAnsi="Times New Roman" w:cs="Times New Roman"/>
            <w:lang w:val="de-DE"/>
          </w:rPr>
          <w:t>/</w:t>
        </w:r>
      </w:hyperlink>
      <w:r w:rsidR="00CA28B7" w:rsidRPr="00CA28B7">
        <w:rPr>
          <w:rStyle w:val="Hyperlink"/>
          <w:rFonts w:ascii="Times New Roman" w:hAnsi="Times New Roman" w:cs="Times New Roman"/>
          <w:lang w:val="de-DE"/>
        </w:rPr>
        <w:t xml:space="preserve"> </w:t>
      </w:r>
      <w:hyperlink r:id="rId45" w:history="1">
        <w:r w:rsidR="00CA28B7" w:rsidRPr="000B0228">
          <w:rPr>
            <w:rStyle w:val="Hyperlink"/>
            <w:rFonts w:ascii="Times New Roman" w:hAnsi="Times New Roman" w:cs="Times New Roman"/>
            <w:lang w:val="de-DE"/>
          </w:rPr>
          <w:t>catrin.westphal@uni-goettingen.de</w:t>
        </w:r>
      </w:hyperlink>
      <w:r w:rsidR="00CA28B7">
        <w:rPr>
          <w:rStyle w:val="Hyperlink"/>
          <w:rFonts w:ascii="Times New Roman" w:hAnsi="Times New Roman" w:cs="Times New Roman"/>
          <w:lang w:val="de-DE"/>
        </w:rPr>
        <w:t xml:space="preserve"> </w:t>
      </w:r>
      <w:r w:rsidRPr="007E1B57">
        <w:rPr>
          <w:rFonts w:ascii="Times New Roman" w:hAnsi="Times New Roman" w:cs="Times New Roman"/>
          <w:lang w:val="de-DE"/>
        </w:rPr>
        <w:t xml:space="preserve"> </w:t>
      </w:r>
      <w:hyperlink r:id="rId46" w:history="1"/>
      <w:r w:rsidRPr="007E1B57">
        <w:rPr>
          <w:rFonts w:ascii="Times New Roman" w:hAnsi="Times New Roman" w:cs="Times New Roman"/>
          <w:lang w:val="de-DE"/>
        </w:rPr>
        <w:t xml:space="preserve"> </w:t>
      </w:r>
    </w:p>
    <w:p w14:paraId="5C521812" w14:textId="77777777" w:rsidR="00ED3D4B" w:rsidRDefault="00B13086">
      <w:pPr>
        <w:spacing w:line="360" w:lineRule="auto"/>
        <w:jc w:val="both"/>
        <w:rPr>
          <w:rFonts w:ascii="Times New Roman" w:hAnsi="Times New Roman" w:cs="Times New Roman"/>
          <w:lang w:val="de-DE"/>
        </w:rPr>
      </w:pPr>
      <w:r>
        <w:rPr>
          <w:rFonts w:ascii="Times New Roman" w:hAnsi="Times New Roman" w:cs="Times New Roman"/>
          <w:lang w:val="de-DE"/>
        </w:rPr>
        <w:t>Annika L. Hass</w:t>
      </w:r>
      <w:r>
        <w:rPr>
          <w:rFonts w:ascii="Times New Roman" w:hAnsi="Times New Roman" w:cs="Times New Roman"/>
          <w:vertAlign w:val="superscript"/>
          <w:lang w:val="de-DE"/>
        </w:rPr>
        <w:t>1</w:t>
      </w:r>
      <w:r>
        <w:rPr>
          <w:rFonts w:ascii="Times New Roman" w:hAnsi="Times New Roman" w:cs="Times New Roman"/>
          <w:lang w:val="de-DE"/>
        </w:rPr>
        <w:t xml:space="preserve">: </w:t>
      </w:r>
      <w:hyperlink r:id="rId47">
        <w:r>
          <w:rPr>
            <w:rStyle w:val="Hyperlink"/>
            <w:rFonts w:ascii="Times New Roman" w:hAnsi="Times New Roman" w:cs="Times New Roman"/>
            <w:lang w:val="de-DE"/>
          </w:rPr>
          <w:t>https://orcid.org/0000-0002-3377-4622 //</w:t>
        </w:r>
      </w:hyperlink>
      <w:r>
        <w:rPr>
          <w:rFonts w:ascii="Times New Roman" w:hAnsi="Times New Roman" w:cs="Times New Roman"/>
          <w:lang w:val="de-DE"/>
        </w:rPr>
        <w:t xml:space="preserve"> </w:t>
      </w:r>
      <w:hyperlink r:id="rId48">
        <w:r>
          <w:rPr>
            <w:rStyle w:val="Hyperlink"/>
            <w:rFonts w:ascii="Times New Roman" w:hAnsi="Times New Roman" w:cs="Times New Roman"/>
            <w:lang w:val="de-DE"/>
          </w:rPr>
          <w:t>ahass@gwdg.de</w:t>
        </w:r>
      </w:hyperlink>
      <w:r>
        <w:rPr>
          <w:rFonts w:ascii="Times New Roman" w:hAnsi="Times New Roman" w:cs="Times New Roman"/>
          <w:lang w:val="de-DE"/>
        </w:rPr>
        <w:t xml:space="preserve"> </w:t>
      </w:r>
    </w:p>
    <w:p w14:paraId="54724A12" w14:textId="566111B3" w:rsidR="00ED3D4B" w:rsidRDefault="00B13086">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 xml:space="preserve">Functional Agrobiodiversity &amp; Agroecology, </w:t>
      </w:r>
      <w:r w:rsidR="00FE1D22">
        <w:rPr>
          <w:rFonts w:ascii="Times New Roman" w:hAnsi="Times New Roman" w:cs="Times New Roman"/>
        </w:rPr>
        <w:t>Department of Crop Sciences, University of</w:t>
      </w:r>
      <w:r>
        <w:rPr>
          <w:rFonts w:ascii="Times New Roman" w:hAnsi="Times New Roman" w:cs="Times New Roman"/>
        </w:rPr>
        <w:t xml:space="preserve"> Göttingen, Grisebachstr. 6, 37077 Göttingen</w:t>
      </w:r>
      <w:r w:rsidR="00FE1D22">
        <w:rPr>
          <w:rFonts w:ascii="Times New Roman" w:hAnsi="Times New Roman" w:cs="Times New Roman"/>
        </w:rPr>
        <w:t>, Germany</w:t>
      </w:r>
      <w:r>
        <w:rPr>
          <w:rFonts w:ascii="Times New Roman" w:hAnsi="Times New Roman" w:cs="Times New Roman"/>
        </w:rPr>
        <w:t>.</w:t>
      </w:r>
    </w:p>
    <w:p w14:paraId="3F908515" w14:textId="77777777" w:rsidR="00ED3D4B" w:rsidRDefault="00B13086">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Plant Ecology &amp; Nature Conservation Group, Wageningen University &amp; Research, Droevendaalsesteeg 3a, Building 100, 6708 PB Wageningen.</w:t>
      </w:r>
    </w:p>
    <w:p w14:paraId="264E49BA" w14:textId="77777777" w:rsidR="00ED3D4B" w:rsidRDefault="00B13086">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Justus Liebig University of Gießen, Institute of Animal Ecology and Systematics, Heinrich-Buff-Ring 26, Gießen 35392, Germany</w:t>
      </w:r>
    </w:p>
    <w:p w14:paraId="246F28E8" w14:textId="77777777" w:rsidR="00ED3D4B" w:rsidRDefault="00B13086">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Institute of Ecology and Earth Sciences, University of Tartu, J. Liivi 2, Tartu 50409, Estonia</w:t>
      </w:r>
    </w:p>
    <w:p w14:paraId="578118EF" w14:textId="77777777" w:rsidR="00ED3D4B" w:rsidRDefault="00B13086">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Institute of Geology, Tallinn University of Technology, Ehitajate tee 5, Tallinn 19086, Estonia</w:t>
      </w:r>
    </w:p>
    <w:p w14:paraId="0EA65BB3" w14:textId="77777777" w:rsidR="00ED3D4B" w:rsidRDefault="00B13086">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Biodiversity Conservation and Management Program, Forest Science and Technology Centre of Catalonia (CTFC), Solsona, Spain</w:t>
      </w:r>
    </w:p>
    <w:p w14:paraId="1F189176" w14:textId="77777777" w:rsidR="00ED3D4B" w:rsidRDefault="00B13086">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Department of Zoology and Animal Cell Biology, Faculty of Pharmacy, University of the Basque Country (UPV/EHU), Paseo de la Universidad 7, 01006 Vitoria-Gasteiz, Alava, Spain</w:t>
      </w:r>
    </w:p>
    <w:p w14:paraId="0C910E86" w14:textId="77777777" w:rsidR="00ED3D4B" w:rsidRDefault="00B13086">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lang w:val="es-ES"/>
        </w:rPr>
        <w:t xml:space="preserve">Department of Ecology. Universidad Autónoma de Madrid. </w:t>
      </w:r>
      <w:r>
        <w:rPr>
          <w:rFonts w:ascii="Times New Roman" w:hAnsi="Times New Roman" w:cs="Times New Roman"/>
        </w:rPr>
        <w:t>C/ Darwin, 2. 28049. Madrid, Spain.</w:t>
      </w:r>
    </w:p>
    <w:p w14:paraId="33E6D610" w14:textId="77777777" w:rsidR="00ED3D4B" w:rsidRDefault="00B13086">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Biology Department, KU Leuven, Kasteelpark Arenberg 31, 300 Heverlee, Belgium</w:t>
      </w:r>
    </w:p>
    <w:p w14:paraId="39AF042C" w14:textId="77777777" w:rsidR="00ED3D4B" w:rsidRDefault="00B13086">
      <w:pPr>
        <w:pStyle w:val="ListParagraph"/>
        <w:numPr>
          <w:ilvl w:val="0"/>
          <w:numId w:val="1"/>
        </w:numPr>
        <w:spacing w:line="360" w:lineRule="auto"/>
        <w:jc w:val="both"/>
        <w:rPr>
          <w:rFonts w:ascii="Times New Roman" w:hAnsi="Times New Roman" w:cs="Times New Roman"/>
        </w:rPr>
      </w:pPr>
      <w:r>
        <w:rPr>
          <w:rFonts w:ascii="Times New Roman" w:hAnsi="Times New Roman" w:cs="Times New Roman"/>
        </w:rPr>
        <w:t>Cellular and Organismic Networks, Faculty of Biology, Ludwig-Maximilians-Universität München, Großhaderner Str. 2-4, 82152 Planegg-Martinsried, Germany</w:t>
      </w:r>
    </w:p>
    <w:p w14:paraId="0A3FD618" w14:textId="77777777" w:rsidR="00ED3D4B" w:rsidRDefault="00B13086">
      <w:pPr>
        <w:spacing w:line="360" w:lineRule="auto"/>
        <w:jc w:val="both"/>
        <w:rPr>
          <w:rFonts w:ascii="Times New Roman" w:hAnsi="Times New Roman" w:cs="Times New Roman"/>
          <w:sz w:val="24"/>
          <w:szCs w:val="24"/>
        </w:rPr>
      </w:pPr>
      <w:r>
        <w:rPr>
          <w:rFonts w:ascii="Times New Roman" w:hAnsi="Times New Roman" w:cs="Times New Roman"/>
          <w:b/>
          <w:sz w:val="24"/>
          <w:szCs w:val="24"/>
        </w:rPr>
        <w:t>Statement of authorship</w:t>
      </w:r>
      <w:r>
        <w:rPr>
          <w:rFonts w:ascii="Times New Roman" w:hAnsi="Times New Roman" w:cs="Times New Roman"/>
          <w:sz w:val="24"/>
          <w:szCs w:val="24"/>
        </w:rPr>
        <w:t xml:space="preserve">: </w:t>
      </w:r>
    </w:p>
    <w:p w14:paraId="4E04FC7B" w14:textId="3DD23463" w:rsidR="00ED3D4B" w:rsidRDefault="00B13086">
      <w:pPr>
        <w:spacing w:line="360" w:lineRule="auto"/>
        <w:jc w:val="both"/>
        <w:rPr>
          <w:rFonts w:ascii="Times New Roman" w:hAnsi="Times New Roman" w:cs="Times New Roman"/>
          <w:sz w:val="24"/>
          <w:szCs w:val="24"/>
        </w:rPr>
      </w:pPr>
      <w:r>
        <w:rPr>
          <w:rFonts w:ascii="Times New Roman" w:hAnsi="Times New Roman" w:cs="Times New Roman"/>
          <w:b/>
          <w:sz w:val="24"/>
          <w:szCs w:val="24"/>
        </w:rPr>
        <w:t>Elena Velado-Alonso</w:t>
      </w:r>
      <w:r>
        <w:rPr>
          <w:rFonts w:ascii="Times New Roman" w:hAnsi="Times New Roman" w:cs="Times New Roman"/>
          <w:sz w:val="24"/>
          <w:szCs w:val="24"/>
        </w:rPr>
        <w:t xml:space="preserve"> lead the formal analysis, collated data, provided new methods, performed modeling work and analyzed output data, lead writing including visualization materials; </w:t>
      </w:r>
      <w:r>
        <w:rPr>
          <w:rFonts w:ascii="Times New Roman" w:hAnsi="Times New Roman" w:cs="Times New Roman"/>
          <w:b/>
          <w:sz w:val="24"/>
          <w:szCs w:val="24"/>
        </w:rPr>
        <w:t>Ira Hannappel,</w:t>
      </w:r>
      <w:r>
        <w:rPr>
          <w:rFonts w:ascii="Times New Roman" w:hAnsi="Times New Roman" w:cs="Times New Roman"/>
          <w:sz w:val="24"/>
          <w:szCs w:val="24"/>
        </w:rPr>
        <w:t xml:space="preserve"> </w:t>
      </w:r>
      <w:r>
        <w:rPr>
          <w:rFonts w:ascii="Times New Roman" w:hAnsi="Times New Roman" w:cs="Times New Roman"/>
          <w:b/>
          <w:sz w:val="24"/>
          <w:szCs w:val="24"/>
        </w:rPr>
        <w:t>Elisabeth Prangel, Triin Reitalu, Jelle Devalez,</w:t>
      </w:r>
      <w:r>
        <w:rPr>
          <w:b/>
        </w:rPr>
        <w:t xml:space="preserve"> </w:t>
      </w:r>
      <w:r>
        <w:rPr>
          <w:rFonts w:ascii="Times New Roman" w:hAnsi="Times New Roman" w:cs="Times New Roman"/>
          <w:b/>
          <w:sz w:val="24"/>
          <w:szCs w:val="24"/>
        </w:rPr>
        <w:t>Jordi Artola</w:t>
      </w:r>
      <w:r>
        <w:rPr>
          <w:rFonts w:ascii="Times New Roman" w:hAnsi="Times New Roman" w:cs="Times New Roman"/>
          <w:sz w:val="24"/>
          <w:szCs w:val="24"/>
        </w:rPr>
        <w:t xml:space="preserve"> contributed to data collection and investigation, </w:t>
      </w:r>
      <w:r>
        <w:rPr>
          <w:rFonts w:ascii="Times New Roman" w:hAnsi="Times New Roman" w:cs="Times New Roman"/>
          <w:b/>
          <w:sz w:val="24"/>
          <w:szCs w:val="24"/>
        </w:rPr>
        <w:t>Felipe Librán-Embid</w:t>
      </w:r>
      <w:r>
        <w:rPr>
          <w:rFonts w:ascii="Times New Roman" w:hAnsi="Times New Roman" w:cs="Times New Roman"/>
          <w:sz w:val="24"/>
          <w:szCs w:val="24"/>
        </w:rPr>
        <w:t xml:space="preserve">, helped in developing new methods; </w:t>
      </w:r>
      <w:r>
        <w:rPr>
          <w:rFonts w:ascii="Times New Roman" w:hAnsi="Times New Roman" w:cs="Times New Roman"/>
          <w:b/>
          <w:sz w:val="24"/>
          <w:szCs w:val="24"/>
        </w:rPr>
        <w:t>Tanel Vahter, Aveliina Helm,</w:t>
      </w:r>
      <w:r>
        <w:rPr>
          <w:b/>
        </w:rPr>
        <w:t xml:space="preserve"> </w:t>
      </w:r>
      <w:r>
        <w:rPr>
          <w:rFonts w:ascii="Times New Roman" w:hAnsi="Times New Roman" w:cs="Times New Roman"/>
          <w:b/>
          <w:sz w:val="24"/>
          <w:szCs w:val="24"/>
        </w:rPr>
        <w:t xml:space="preserve">Xabier Cabodevilla, Evan Taylor Sloan, Hans Jacquemyn, Alexander Keller </w:t>
      </w:r>
      <w:r>
        <w:rPr>
          <w:rFonts w:ascii="Times New Roman" w:hAnsi="Times New Roman" w:cs="Times New Roman"/>
          <w:sz w:val="24"/>
          <w:szCs w:val="24"/>
        </w:rPr>
        <w:t xml:space="preserve">contributed to investigation; </w:t>
      </w:r>
      <w:r>
        <w:rPr>
          <w:rFonts w:ascii="Times New Roman" w:hAnsi="Times New Roman" w:cs="Times New Roman"/>
          <w:b/>
          <w:sz w:val="24"/>
          <w:szCs w:val="24"/>
        </w:rPr>
        <w:t>Triin Reitalu, Gerard Bota, David Giralt, Juan Traba</w:t>
      </w:r>
      <w:r>
        <w:rPr>
          <w:rFonts w:ascii="Times New Roman" w:hAnsi="Times New Roman" w:cs="Times New Roman"/>
          <w:sz w:val="24"/>
          <w:szCs w:val="24"/>
        </w:rPr>
        <w:t xml:space="preserve"> contributed to conceptualization and funding acquisition, </w:t>
      </w:r>
      <w:r>
        <w:rPr>
          <w:rFonts w:ascii="Times New Roman" w:hAnsi="Times New Roman" w:cs="Times New Roman"/>
          <w:b/>
          <w:sz w:val="24"/>
          <w:szCs w:val="24"/>
        </w:rPr>
        <w:t>David Kleijn, Catrin Westphal</w:t>
      </w:r>
      <w:r>
        <w:rPr>
          <w:rFonts w:ascii="Times New Roman" w:hAnsi="Times New Roman" w:cs="Times New Roman"/>
          <w:sz w:val="24"/>
          <w:szCs w:val="24"/>
        </w:rPr>
        <w:t xml:space="preserve"> </w:t>
      </w:r>
      <w:r w:rsidR="00CA28B7" w:rsidRPr="00CA28B7">
        <w:rPr>
          <w:rFonts w:ascii="Times New Roman" w:hAnsi="Times New Roman" w:cs="Times New Roman"/>
          <w:sz w:val="24"/>
          <w:szCs w:val="24"/>
        </w:rPr>
        <w:t xml:space="preserve">contributed </w:t>
      </w:r>
      <w:r w:rsidR="00CA28B7">
        <w:rPr>
          <w:rFonts w:ascii="Times New Roman" w:hAnsi="Times New Roman" w:cs="Times New Roman"/>
          <w:sz w:val="24"/>
          <w:szCs w:val="24"/>
        </w:rPr>
        <w:t xml:space="preserve">to </w:t>
      </w:r>
      <w:r w:rsidR="00CA28B7" w:rsidRPr="00CA28B7">
        <w:rPr>
          <w:rFonts w:ascii="Times New Roman" w:hAnsi="Times New Roman" w:cs="Times New Roman"/>
          <w:sz w:val="24"/>
          <w:szCs w:val="24"/>
        </w:rPr>
        <w:t>conceptualization, funding acquisition and supervision</w:t>
      </w:r>
      <w:r w:rsidR="00CA28B7">
        <w:rPr>
          <w:rFonts w:ascii="Times New Roman" w:hAnsi="Times New Roman" w:cs="Times New Roman"/>
          <w:sz w:val="24"/>
          <w:szCs w:val="24"/>
        </w:rPr>
        <w:t xml:space="preserve">, </w:t>
      </w:r>
      <w:r w:rsidR="00A22F56">
        <w:rPr>
          <w:rFonts w:ascii="Times New Roman" w:hAnsi="Times New Roman" w:cs="Times New Roman"/>
          <w:sz w:val="24"/>
          <w:szCs w:val="24"/>
        </w:rPr>
        <w:t xml:space="preserve">and </w:t>
      </w:r>
      <w:r w:rsidR="00A22F56">
        <w:rPr>
          <w:rFonts w:ascii="Times New Roman" w:hAnsi="Times New Roman" w:cs="Times New Roman"/>
          <w:b/>
          <w:sz w:val="24"/>
          <w:szCs w:val="24"/>
        </w:rPr>
        <w:t>Annika L. Hass</w:t>
      </w:r>
      <w:r w:rsidR="00A22F56">
        <w:rPr>
          <w:rFonts w:ascii="Times New Roman" w:hAnsi="Times New Roman" w:cs="Times New Roman"/>
          <w:sz w:val="24"/>
          <w:szCs w:val="24"/>
        </w:rPr>
        <w:t xml:space="preserve"> </w:t>
      </w:r>
      <w:r>
        <w:rPr>
          <w:rFonts w:ascii="Times New Roman" w:hAnsi="Times New Roman" w:cs="Times New Roman"/>
          <w:sz w:val="24"/>
          <w:szCs w:val="24"/>
        </w:rPr>
        <w:t>contributed to conceptualization, funding acquisition, data analysis, project coordination and supervision. All co-authors contributed to the writing review and editing of this manuscript.</w:t>
      </w:r>
    </w:p>
    <w:p w14:paraId="3056E981" w14:textId="318A1378" w:rsidR="00ED3D4B" w:rsidRDefault="00B13086">
      <w:pPr>
        <w:spacing w:line="360" w:lineRule="auto"/>
        <w:jc w:val="both"/>
        <w:rPr>
          <w:rFonts w:ascii="Times New Roman" w:hAnsi="Times New Roman" w:cs="Times New Roman"/>
          <w:sz w:val="24"/>
          <w:szCs w:val="24"/>
        </w:rPr>
      </w:pPr>
      <w:r w:rsidRPr="00807EA9">
        <w:rPr>
          <w:rFonts w:ascii="Times New Roman" w:hAnsi="Times New Roman" w:cs="Times New Roman"/>
          <w:b/>
          <w:sz w:val="24"/>
          <w:szCs w:val="24"/>
        </w:rPr>
        <w:t>Data accessibility statement</w:t>
      </w:r>
      <w:r>
        <w:rPr>
          <w:rFonts w:ascii="Times New Roman" w:hAnsi="Times New Roman" w:cs="Times New Roman"/>
          <w:sz w:val="24"/>
          <w:szCs w:val="24"/>
        </w:rPr>
        <w:t xml:space="preserve">: </w:t>
      </w:r>
      <w:r w:rsidR="009F3ABF" w:rsidRPr="009F3ABF">
        <w:rPr>
          <w:rFonts w:ascii="Times New Roman" w:hAnsi="Times New Roman" w:cs="Times New Roman"/>
          <w:sz w:val="24"/>
          <w:szCs w:val="24"/>
        </w:rPr>
        <w:t xml:space="preserve">All data and code </w:t>
      </w:r>
      <w:r w:rsidR="00051BA3">
        <w:rPr>
          <w:rFonts w:ascii="Times New Roman" w:hAnsi="Times New Roman" w:cs="Times New Roman"/>
          <w:sz w:val="24"/>
          <w:szCs w:val="24"/>
        </w:rPr>
        <w:t xml:space="preserve">will be made </w:t>
      </w:r>
      <w:r w:rsidR="009F3ABF" w:rsidRPr="009F3ABF">
        <w:rPr>
          <w:rFonts w:ascii="Times New Roman" w:hAnsi="Times New Roman" w:cs="Times New Roman"/>
          <w:sz w:val="24"/>
          <w:szCs w:val="24"/>
        </w:rPr>
        <w:t>available in a public repository of the University of Göttingen</w:t>
      </w:r>
      <w:r w:rsidR="00051BA3">
        <w:rPr>
          <w:rFonts w:ascii="Times New Roman" w:hAnsi="Times New Roman" w:cs="Times New Roman"/>
          <w:sz w:val="24"/>
          <w:szCs w:val="24"/>
        </w:rPr>
        <w:t xml:space="preserve"> and in Zenodo doi: </w:t>
      </w:r>
      <w:r w:rsidR="00051BA3" w:rsidRPr="00051BA3">
        <w:rPr>
          <w:rFonts w:ascii="Times New Roman" w:hAnsi="Times New Roman" w:cs="Times New Roman"/>
          <w:sz w:val="24"/>
          <w:szCs w:val="24"/>
        </w:rPr>
        <w:t>10.5281/zenodo.17208839</w:t>
      </w:r>
      <w:r w:rsidR="00051BA3">
        <w:rPr>
          <w:rFonts w:ascii="Times New Roman" w:hAnsi="Times New Roman" w:cs="Times New Roman"/>
          <w:sz w:val="24"/>
          <w:szCs w:val="24"/>
        </w:rPr>
        <w:t xml:space="preserve">. During the review process </w:t>
      </w:r>
      <w:r w:rsidR="00BB796D">
        <w:rPr>
          <w:rFonts w:ascii="Times New Roman" w:hAnsi="Times New Roman" w:cs="Times New Roman"/>
          <w:sz w:val="24"/>
          <w:szCs w:val="24"/>
        </w:rPr>
        <w:t xml:space="preserve">code and data </w:t>
      </w:r>
      <w:r w:rsidR="00051BA3">
        <w:rPr>
          <w:rFonts w:ascii="Times New Roman" w:hAnsi="Times New Roman" w:cs="Times New Roman"/>
          <w:sz w:val="24"/>
          <w:szCs w:val="24"/>
        </w:rPr>
        <w:t xml:space="preserve">is accessible under this link: </w:t>
      </w:r>
      <w:hyperlink r:id="rId49" w:history="1">
        <w:r w:rsidR="00BB796D" w:rsidRPr="007D420B">
          <w:rPr>
            <w:rStyle w:val="Hyperlink"/>
            <w:rFonts w:ascii="Times New Roman" w:hAnsi="Times New Roman" w:cs="Times New Roman"/>
            <w:sz w:val="24"/>
            <w:szCs w:val="24"/>
          </w:rPr>
          <w:t>https://zenodo.org/records/17208839?token=eyJhbGciOiJIUzUxMiJ9.eyJpZCI6IjA3ZWNlNjU2LWZmZTAtNDlhNS1iODZmLTdkNDVjOTVkYWQ5MSIsImRhdGEiOnt9LCJyYW5kb20iOiIxNjhhODgyMjIxZDlhZWE0ZDYzZjFkYmRjYjIxM2I1ZSJ9.ZMJDTB24a8Z110JgCAVlRXWNJU7vGl9NQ8VeNVVw2S75boZj6_BDsmCx8fZDk30ULDXk4-R2XdfUXJ1OyBJq4g</w:t>
        </w:r>
      </w:hyperlink>
      <w:r w:rsidR="00BB796D">
        <w:rPr>
          <w:rFonts w:ascii="Times New Roman" w:hAnsi="Times New Roman" w:cs="Times New Roman"/>
          <w:sz w:val="24"/>
          <w:szCs w:val="24"/>
        </w:rPr>
        <w:t xml:space="preserve"> </w:t>
      </w:r>
    </w:p>
    <w:p w14:paraId="2A65496B" w14:textId="6E88BA8B" w:rsidR="00ED3D4B" w:rsidRDefault="00B1308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(up to 10): Agri-environmental Schemes, Biodiversity Conservation, Ecosystem Restoration, Landscape Design, Mutualistic Networks, Metacommunity, Plants, Pollinators, Meta-networks, </w:t>
      </w:r>
    </w:p>
    <w:p w14:paraId="0F83B8D5" w14:textId="77777777" w:rsidR="00533399" w:rsidRDefault="00533399" w:rsidP="00533399">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words in the abstract: 149</w:t>
      </w:r>
    </w:p>
    <w:p w14:paraId="4B567B80" w14:textId="59232871" w:rsidR="00533399" w:rsidRDefault="00533399" w:rsidP="0053339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Number of words in the main text: </w:t>
      </w:r>
      <w:r w:rsidR="00186F21">
        <w:rPr>
          <w:rFonts w:ascii="Times New Roman" w:hAnsi="Times New Roman" w:cs="Times New Roman"/>
          <w:sz w:val="24"/>
          <w:szCs w:val="24"/>
        </w:rPr>
        <w:t>4993</w:t>
      </w:r>
    </w:p>
    <w:p w14:paraId="4FCCB936" w14:textId="6DFDA365" w:rsidR="00533399" w:rsidRDefault="00533399" w:rsidP="00533399">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words in the text box: 467</w:t>
      </w:r>
    </w:p>
    <w:p w14:paraId="367244EA" w14:textId="46A73635" w:rsidR="0005128A" w:rsidRDefault="0005128A" w:rsidP="00533399">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references: 75</w:t>
      </w:r>
    </w:p>
    <w:p w14:paraId="1194F774" w14:textId="6AA81033" w:rsidR="00533399" w:rsidRDefault="00533399" w:rsidP="00533399">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figures: 4</w:t>
      </w:r>
    </w:p>
    <w:p w14:paraId="0D3EC3AA" w14:textId="2BA8E7FE" w:rsidR="00533399" w:rsidRDefault="00533399" w:rsidP="0053339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Number of tables: 0 </w:t>
      </w:r>
    </w:p>
    <w:p w14:paraId="2A44F45E" w14:textId="7F5EAB04" w:rsidR="00533399" w:rsidRDefault="00533399" w:rsidP="00533399">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tex</w:t>
      </w:r>
      <w:r w:rsidR="00186F21">
        <w:rPr>
          <w:rFonts w:ascii="Times New Roman" w:hAnsi="Times New Roman" w:cs="Times New Roman"/>
          <w:sz w:val="24"/>
          <w:szCs w:val="24"/>
        </w:rPr>
        <w:t>t</w:t>
      </w:r>
      <w:r>
        <w:rPr>
          <w:rFonts w:ascii="Times New Roman" w:hAnsi="Times New Roman" w:cs="Times New Roman"/>
          <w:sz w:val="24"/>
          <w:szCs w:val="24"/>
        </w:rPr>
        <w:t xml:space="preserve"> boxes: 1 </w:t>
      </w:r>
    </w:p>
    <w:p w14:paraId="0ABE4ADE" w14:textId="08C5A58F" w:rsidR="00533399" w:rsidRDefault="0053339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16D0F94" w14:textId="77777777" w:rsidR="00ED3D4B" w:rsidRDefault="00ED3D4B">
      <w:pPr>
        <w:spacing w:line="360" w:lineRule="auto"/>
        <w:jc w:val="both"/>
        <w:rPr>
          <w:rFonts w:ascii="Times New Roman" w:hAnsi="Times New Roman" w:cs="Times New Roman"/>
          <w:b/>
          <w:bCs/>
          <w:sz w:val="24"/>
          <w:szCs w:val="24"/>
        </w:rPr>
      </w:pPr>
    </w:p>
    <w:p w14:paraId="414AD494" w14:textId="061E8650" w:rsidR="00ED3D4B" w:rsidRDefault="00B13086">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Abstract:</w:t>
      </w:r>
      <w:r>
        <w:t xml:space="preserve"> </w:t>
      </w:r>
    </w:p>
    <w:p w14:paraId="5A28D417" w14:textId="0249F2A9" w:rsidR="00ED3D4B" w:rsidRDefault="00B13086">
      <w:pPr>
        <w:spacing w:line="360" w:lineRule="auto"/>
        <w:jc w:val="both"/>
        <w:rPr>
          <w:rFonts w:ascii="Times New Roman" w:hAnsi="Times New Roman" w:cs="Times New Roman"/>
          <w:sz w:val="24"/>
          <w:szCs w:val="24"/>
        </w:rPr>
      </w:pPr>
      <w:r>
        <w:rPr>
          <w:rFonts w:ascii="Times New Roman" w:hAnsi="Times New Roman" w:cs="Times New Roman"/>
          <w:sz w:val="24"/>
          <w:szCs w:val="24"/>
        </w:rPr>
        <w:t>Restoring semi-natural habitats in agricultural landscapes has become a target of many international policies. However, restoration efforts should go beyond local, species-centered approaches and also target the restoration of ecological interactions at broader scales. At landscape and regional scales, the restoration of plant-pollinator interactions implies enhancing both the spatial redundancy (repetition across space) and spatial complementarity (variation across space) of interactions. Here, we used a meta-network approach to study restoration of plant-pollinator interactions in semi-natural grassland</w:t>
      </w:r>
      <w:r w:rsidR="004F2E6E">
        <w:rPr>
          <w:rFonts w:ascii="Times New Roman" w:hAnsi="Times New Roman" w:cs="Times New Roman"/>
          <w:sz w:val="24"/>
          <w:szCs w:val="24"/>
        </w:rPr>
        <w:t>s</w:t>
      </w:r>
      <w:r>
        <w:rPr>
          <w:rFonts w:ascii="Times New Roman" w:hAnsi="Times New Roman" w:cs="Times New Roman"/>
          <w:sz w:val="24"/>
          <w:szCs w:val="24"/>
        </w:rPr>
        <w:t xml:space="preserve"> embedded in agricultural landscapes. Over two years, we recorded plant-wild bee interactions across 96 calcareous grasslands along restoration-abandonment gradients in three countries. Local pollinator habitat quality (floral cover and richness) was found to be fundamental in restoring the diversity of interactions and supporting interaction complementarity. Moreover, greater landscape cover of agri</w:t>
      </w:r>
      <w:r>
        <w:rPr>
          <w:rFonts w:ascii="Times New Roman" w:hAnsi="Times New Roman" w:cs="Times New Roman"/>
          <w:sz w:val="24"/>
          <w:szCs w:val="24"/>
        </w:rPr>
        <w:noBreakHyphen/>
        <w:t>environment schemes (biodiversity</w:t>
      </w:r>
      <w:r>
        <w:rPr>
          <w:rFonts w:ascii="Times New Roman" w:hAnsi="Times New Roman" w:cs="Times New Roman"/>
          <w:sz w:val="24"/>
          <w:szCs w:val="24"/>
        </w:rPr>
        <w:noBreakHyphen/>
        <w:t>friendly farming practices) supported more redundant interactions across grasslands and buffered grassland’s detachment from the meta-network, promoting links between regional communities.</w:t>
      </w:r>
    </w:p>
    <w:p w14:paraId="6B5D4F4B" w14:textId="77777777" w:rsidR="00ED3D4B" w:rsidRDefault="00B13086">
      <w:pPr>
        <w:rPr>
          <w:rFonts w:ascii="Times New Roman" w:hAnsi="Times New Roman" w:cs="Times New Roman"/>
          <w:sz w:val="24"/>
          <w:szCs w:val="24"/>
        </w:rPr>
      </w:pPr>
      <w:r>
        <w:br w:type="page"/>
      </w:r>
    </w:p>
    <w:p w14:paraId="75B7E163" w14:textId="77777777" w:rsidR="00ED3D4B" w:rsidRDefault="00B1308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Introduction:</w:t>
      </w:r>
    </w:p>
    <w:p w14:paraId="2F0C80BE" w14:textId="11884459" w:rsidR="00ED3D4B" w:rsidRDefault="00B1308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mitigate biodiversity loss and nature degradation, different international initiatives and policies, such as the United Nations Decade on Ecosystem Restoration (2021-2030) and the recently approved European Nature Restoration Law </w:t>
      </w:r>
      <w:r>
        <w:fldChar w:fldCharType="begin"/>
      </w:r>
      <w:r>
        <w:rPr>
          <w:rFonts w:ascii="Times New Roman" w:hAnsi="Times New Roman" w:cs="Times New Roman"/>
          <w:sz w:val="24"/>
          <w:szCs w:val="24"/>
        </w:rPr>
        <w:instrText>ADDIN ZOTERO_ITEM CSL_CITATION {"citationID":"Iv11PYcB","properties":{"formattedCitation":"({\\i{}Regulation (EU) 2024/1991 of the European Parliament and of the Council of 24 June 2024 on nature restoration and amending Regulation (EU) 2022/869 (Text with EEA relevance)} 2024)","plainCitation":"(Regulation (EU) 2024/1991 of the European Parliament and of the Council of 24 June 2024 on nature restoration and amending Regulation (EU) 2022/869 (Text with EEA relevance) 2024)","dontUpdate":true,"noteIndex":0},"citationItems":[{"id":5597,"uris":["http://zotero.org/users/11234172/items/ISR7S9VQ"],"itemData":{"id":5597,"type":"legislation","language":"en","note":"Legislative Body: CONSIL, EP","title":"Regulation (EU) 2024/1991 of the European Parliament and of the Council of 24 June 2024 on nature restoration and amending Regulation (EU) 2022/869 (Text with EEA relevance)","URL":"http://data.europa.eu/eli/reg/2024/1991/oj/eng","author":[{"family":"European Parlament","given":""}],"accessed":{"date-parts":[["2025",8,30]]},"issued":{"date-parts":[["2024",6,24]]}}}],"schema":"https://github.com/citation-style-language/schema/raw/master/csl-citation.json"}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w:t>
      </w:r>
      <w:r>
        <w:rPr>
          <w:rFonts w:ascii="Times New Roman" w:hAnsi="Times New Roman" w:cs="Times New Roman"/>
          <w:i/>
          <w:iCs/>
          <w:sz w:val="24"/>
          <w:szCs w:val="24"/>
        </w:rPr>
        <w:t>European Parliament,</w:t>
      </w:r>
      <w:r>
        <w:rPr>
          <w:rFonts w:ascii="Times New Roman" w:hAnsi="Times New Roman" w:cs="Times New Roman"/>
          <w:sz w:val="24"/>
          <w:szCs w:val="24"/>
        </w:rPr>
        <w:t xml:space="preserve"> 2024)</w:t>
      </w:r>
      <w:r>
        <w:rPr>
          <w:rFonts w:ascii="Times New Roman" w:hAnsi="Times New Roman" w:cs="Times New Roman"/>
          <w:sz w:val="24"/>
          <w:szCs w:val="24"/>
        </w:rPr>
        <w:fldChar w:fldCharType="end"/>
      </w:r>
      <w:r>
        <w:rPr>
          <w:rFonts w:ascii="Times New Roman" w:hAnsi="Times New Roman" w:cs="Times New Roman"/>
          <w:sz w:val="24"/>
          <w:szCs w:val="24"/>
        </w:rPr>
        <w:t xml:space="preserve"> have been proposed with the pledge of restoring millions of hectares globally. However, transforming degraded habitats into diverse, functional and stable ecosystems requires more than just restoring species communities or habitat characteristics </w:t>
      </w:r>
      <w:r>
        <w:fldChar w:fldCharType="begin"/>
      </w:r>
      <w:r>
        <w:rPr>
          <w:rFonts w:ascii="Times New Roman" w:hAnsi="Times New Roman" w:cs="Times New Roman"/>
          <w:sz w:val="24"/>
          <w:szCs w:val="24"/>
        </w:rPr>
        <w:instrText>ADDIN ZOTERO_ITEM CSL_CITATION {"citationID":"SsLRWLkH","properties":{"formattedCitation":"(Heinen {\\i{}et al.} 2020)","plainCitation":"(Heinen et al. 2020)","noteIndex":0},"citationItems":[{"id":5603,"uris":["http://zotero.org/users/11234172/items/9T5XSKX3"],"itemData":{"id":5603,"type":"article-journal","abstract":"A desirable goal of nature management is to re-establish self-sustaining ecosystems that ensure the persistence of natural habitats and species without requiring active management. Such self-sustainability relies on functional species interactions; yet, species interactions are often overlooked in the conservation literature, and when designing species-specific management efforts. Some interactions may not be restored under general management (e.g. land protection), and may require additional specific management interventions. Interventions targeting these specific interactions fall in a gap between general and species-specific management, effectively bridging community- and population-level approaches to conservation management. We propose that managers should explicitly identify cases where active management of specific interaction partners is required to achieve population self-sustainability. In addition, they should ensure that general management interventions do not inadvertently conflict with naturally occurring interactions, potentially thwarting conservation targets. Interaction functionality may be restored by relying on native species and by identifying the spatial context in which interactions are most likely to re-establish, considering distributional range overlap of interaction partners, local variation in individual encounter rate or even spatial variation in the expected success rate (efficiency) of the focal interaction.","container-title":"Ecography","DOI":"10.1111/ecog.04980","ISSN":"1600-0587","issue":"11","language":"en","license":"© 2020 The Authors. Ecography published by John Wiley &amp; Sons Ltd on behalf of Nordic Society Oikos","note":"_eprint: https://nsojournals.onlinelibrary.wiley.com/doi/pdf/10.1111/ecog.04980","page":"1603-1611","source":"Wiley Online Library","title":"Conservation of species interactions to achieve self-sustaining ecosystems","volume":"43","author":[{"family":"Heinen","given":"Julia Helena"},{"family":"Rahbek","given":"Carsten"},{"family":"Borregaard","given":"Michael Krabbe"}],"issued":{"date-parts":[["2020"]]}}}],"schema":"https://github.com/citation-style-language/schema/raw/master/csl-citation.json"}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(Heinen </w:t>
      </w:r>
      <w:r>
        <w:rPr>
          <w:rFonts w:ascii="Times New Roman" w:hAnsi="Times New Roman" w:cs="Times New Roman"/>
          <w:i/>
          <w:iCs/>
          <w:sz w:val="24"/>
          <w:szCs w:val="24"/>
        </w:rPr>
        <w:t>et al.</w:t>
      </w:r>
      <w:r>
        <w:rPr>
          <w:rFonts w:ascii="Times New Roman" w:hAnsi="Times New Roman" w:cs="Times New Roman"/>
          <w:sz w:val="24"/>
          <w:szCs w:val="24"/>
        </w:rPr>
        <w:t xml:space="preserve"> 2020)</w:t>
      </w:r>
      <w:r>
        <w:rPr>
          <w:rFonts w:ascii="Times New Roman" w:hAnsi="Times New Roman" w:cs="Times New Roman"/>
          <w:sz w:val="24"/>
          <w:szCs w:val="24"/>
        </w:rPr>
        <w:fldChar w:fldCharType="end"/>
      </w:r>
      <w:r>
        <w:rPr>
          <w:rFonts w:ascii="Times New Roman" w:hAnsi="Times New Roman" w:cs="Times New Roman"/>
          <w:sz w:val="24"/>
          <w:szCs w:val="24"/>
        </w:rPr>
        <w:t xml:space="preserve">. It also demands the integration of ecological complexity </w:t>
      </w:r>
      <w:r>
        <w:fldChar w:fldCharType="begin"/>
      </w:r>
      <w:r>
        <w:rPr>
          <w:rFonts w:ascii="Times New Roman" w:hAnsi="Times New Roman" w:cs="Times New Roman"/>
          <w:sz w:val="24"/>
          <w:szCs w:val="24"/>
        </w:rPr>
        <w:instrText>ADDIN ZOTERO_ITEM CSL_CITATION {"citationID":"XSJ1Nu64","properties":{"formattedCitation":"(Wu {\\i{}et al.} 2025)","plainCitation":"(Wu et al. 2025)","noteIndex":0},"citationItems":[{"id":5608,"uris":["http://zotero.org/users/11234172/items/LH6VPFQD"],"itemData":{"id":5608,"type":"article-journal","abstract":"The concept of ecological complexity transforms the way we conceptualise ecosystem entities, interactions, and processes. Restoring the complexity of ecosystems has been proposed as a principle for nature recovery activities. Yet, the use of the ‘complexity’ is inconsistent in different research, and lacks a generally accepted definition. This paper draws perspectives from various research fields to synthesise a cohesive concept of ecological complexity. We review a school of thought within the field of ecology, environment, and technical fields such as algorithmic complexity theory, information theory, chaos theory, and graph theory. We also summarise research methods framed by the complexity concept, and provide case studies on how restoration may benefit from the concept, philosophy, and methodology within the umbrella term. The complexity of an ecosystem includes the variety of species and the interactions among them or with environmental variables, with which the essential ecosystem functions, stability, and resilience are sustained. This concept indicates that species and ecological interactions are unified currencies of restoration. Meaningful assembly of species and interactions requires a deep understanding of each restoration project, and here we reflect on tree disease management, regenerative agriculture, species reintroduction, and seagrass systems. Complexity-framed research methods, ranging from systematic reviews to causal loop diagrams and individual-based models, help to integrate the best available information, understand how ecosystems operate, and examine alternative management policies.","container-title":"Total Environment Advances","DOI":"10.1016/j.teadva.2025.200125","ISSN":"2950-3957","journalAbbreviation":"Total Environment Advances","page":"200125","source":"ScienceDirect","title":"Exploring a unified definition of ecological complexity towards restoration","volume":"14","author":[{"family":"Wu","given":"Haoran"},{"family":"Soleiman","given":"Jed"},{"family":"Bolam","given":"Jamie"},{"family":"Boyle","given":"Joseph Scott"}],"issued":{"date-parts":[["2025",6,1]]}}}],"schema":"https://github.com/citation-style-language/schema/raw/master/csl-citation.json"}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(Wu </w:t>
      </w:r>
      <w:r>
        <w:rPr>
          <w:rFonts w:ascii="Times New Roman" w:hAnsi="Times New Roman" w:cs="Times New Roman"/>
          <w:i/>
          <w:iCs/>
          <w:sz w:val="24"/>
          <w:szCs w:val="24"/>
        </w:rPr>
        <w:t>et al.</w:t>
      </w:r>
      <w:r>
        <w:rPr>
          <w:rFonts w:ascii="Times New Roman" w:hAnsi="Times New Roman" w:cs="Times New Roman"/>
          <w:sz w:val="24"/>
          <w:szCs w:val="24"/>
        </w:rPr>
        <w:t xml:space="preserve"> 2025)</w:t>
      </w:r>
      <w:r>
        <w:rPr>
          <w:rFonts w:ascii="Times New Roman" w:hAnsi="Times New Roman" w:cs="Times New Roman"/>
          <w:sz w:val="24"/>
          <w:szCs w:val="24"/>
        </w:rPr>
        <w:fldChar w:fldCharType="end"/>
      </w:r>
      <w:r>
        <w:rPr>
          <w:rFonts w:ascii="Times New Roman" w:hAnsi="Times New Roman" w:cs="Times New Roman"/>
          <w:sz w:val="24"/>
          <w:szCs w:val="24"/>
        </w:rPr>
        <w:t xml:space="preserve">, including aspects such as species interactions, ecosystem functioning or the re-assembly of meta-communities to upscale the effectiveness of restoration measures </w:t>
      </w:r>
      <w:r>
        <w:fldChar w:fldCharType="begin"/>
      </w:r>
      <w:r>
        <w:rPr>
          <w:rFonts w:ascii="Times New Roman" w:hAnsi="Times New Roman" w:cs="Times New Roman"/>
          <w:sz w:val="24"/>
          <w:szCs w:val="24"/>
        </w:rPr>
        <w:instrText>ADDIN ZOTERO_ITEM CSL_CITATION {"citationID":"DE5KUAbS","properties":{"formattedCitation":"(Heinen {\\i{}et al.} 2020; Montoya 2021)","plainCitation":"(Heinen et al. 2020; Montoya 2021)","noteIndex":0},"citationItems":[{"id":5603,"uris":["http://zotero.org/users/11234172/items/9T5XSKX3"],"itemData":{"id":5603,"type":"article-journal","abstract":"A desirable goal of nature management is to re-establish self-sustaining ecosystems that ensure the persistence of natural habitats and species without requiring active management. Such self-sustainability relies on functional species interactions; yet, species interactions are often overlooked in the conservation literature, and when designing species-specific management efforts. Some interactions may not be restored under general management (e.g. land protection), and may require additional specific management interventions. Interventions targeting these specific interactions fall in a gap between general and species-specific management, effectively bridging community- and population-level approaches to conservation management. We propose that managers should explicitly identify cases where active management of specific interaction partners is required to achieve population self-sustainability. In addition, they should ensure that general management interventions do not inadvertently conflict with naturally occurring interactions, potentially thwarting conservation targets. Interaction functionality may be restored by relying on native species and by identifying the spatial context in which interactions are most likely to re-establish, considering distributional range overlap of interaction partners, local variation in individual encounter rate or even spatial variation in the expected success rate (efficiency) of the focal interaction.","container-title":"Ecography","DOI":"10.1111/ecog.04980","ISSN":"1600-0587","issue":"11","language":"en","license":"© 2020 The Authors. Ecography published by John Wiley &amp; Sons Ltd on behalf of Nordic Society Oikos","note":"_eprint: https://nsojournals.onlinelibrary.wiley.com/doi/pdf/10.1111/ecog.04980","page":"1603-1611","source":"Wiley Online Library","title":"Conservation of species interactions to achieve self-sustaining ecosystems","volume":"43","author":[{"family":"Heinen","given":"Julia Helena"},{"family":"Rahbek","given":"Carsten"},{"family":"Borregaard","given":"Michael Krabbe"}],"issued":{"date-parts":[["2020"]]}}},{"id":5610,"uris":["http://zotero.org/users/11234172/items/NQ2EZBQL"],"itemData":{"id":5610,"type":"article-journal","abstract":"Global change degrades ecosystems worldwide. Scientific research has advanced our knowledge of the impacts of global change on ecosystems. Comparatively, however, it remains unclear how ecosystems recover after disturbances. In this perspective, I contend that ecological restoration should advance toward a general, dynamic theory that describes the recovery rates and trajectories of ecosystems along restoration. This approach should address three fundamental challenges corresponding to three components of ecological systems: complexity (how do we quantify ecological restoration?), space (what are the spatial scales of restoration?), and global change (how does global change determine restoration's reference states?). A generic model and experiment based on metacommunities is used to illustrate how these challenges can be addressed. Given the extent of ecosystem degradation and the international consensus to restore ecosystems, revealing the patterns and mechanisms underlying recovery is a fundamental and timely issue toward a general theory of ecological restoration.","container-title":"One Earth","DOI":"10.1016/j.oneear.2021.07.012","ISSN":"2590-3322","issue":"8","journalAbbreviation":"One Earth","page":"1083-1094","source":"ScienceDirect","title":"Challenges and directions toward a general theory of ecological recovery dynamics: A metacommunity perspective","title-short":"Challenges and directions toward a general theory of ecological recovery dynamics","volume":"4","author":[{"family":"Montoya","given":"Daniel"}],"issued":{"date-parts":[["2021",8,20]]}}}],"schema":"https://github.com/citation-style-language/schema/raw/master/csl-citation.json"}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(Heinen </w:t>
      </w:r>
      <w:r>
        <w:rPr>
          <w:rFonts w:ascii="Times New Roman" w:hAnsi="Times New Roman" w:cs="Times New Roman"/>
          <w:i/>
          <w:iCs/>
          <w:sz w:val="24"/>
          <w:szCs w:val="24"/>
        </w:rPr>
        <w:t>et al.</w:t>
      </w:r>
      <w:r>
        <w:rPr>
          <w:rFonts w:ascii="Times New Roman" w:hAnsi="Times New Roman" w:cs="Times New Roman"/>
          <w:sz w:val="24"/>
          <w:szCs w:val="24"/>
        </w:rPr>
        <w:t xml:space="preserve"> 2020; Montoya 2021)</w:t>
      </w:r>
      <w:r>
        <w:rPr>
          <w:rFonts w:ascii="Times New Roman" w:hAnsi="Times New Roman" w:cs="Times New Roman"/>
          <w:sz w:val="24"/>
          <w:szCs w:val="24"/>
        </w:rPr>
        <w:fldChar w:fldCharType="end"/>
      </w:r>
      <w:r>
        <w:rPr>
          <w:rFonts w:ascii="Times New Roman" w:hAnsi="Times New Roman" w:cs="Times New Roman"/>
          <w:sz w:val="24"/>
          <w:szCs w:val="24"/>
        </w:rPr>
        <w:t xml:space="preserve">. To achieve these ambitious goals, ecosystem restoration can integrate biodiversity insurance </w:t>
      </w:r>
      <w:r>
        <w:fldChar w:fldCharType="begin"/>
      </w:r>
      <w:r>
        <w:rPr>
          <w:rFonts w:ascii="Times New Roman" w:hAnsi="Times New Roman" w:cs="Times New Roman"/>
          <w:sz w:val="24"/>
          <w:szCs w:val="24"/>
        </w:rPr>
        <w:instrText>ADDIN ZOTERO_ITEM CSL_CITATION {"citationID":"U1v1VQQH","properties":{"formattedCitation":"(Loreau {\\i{}et al.} 2021)","plainCitation":"(Loreau et al. 2021)","noteIndex":0},"citationItems":[{"id":5623,"uris":["http://zotero.org/users/11234172/items/GIB8RQI2"],"itemData":{"id":5623,"type":"article-journal","abstract":"Biological insurance theory predicts that, in a variable environment, aggregate ecosystem properties will vary less in more diverse communities because declines in the performance or abundance of some species or phenotypes will be offset, at least partly, by smoother declines or increases in others. During the past two decades, ecology has accumulated strong evidence for the stabilising effect of biodiversity on ecosystem functioning. As biological insurance is reaching the stage of a mature theory, it is critical to revisit and clarify its conceptual foundations to guide future developments, applications and measurements. In this review, we first clarify the connections between the insurance and portfolio concepts that have been used in ecology and the economic concepts that inspired them. Doing so points to gaps and mismatches between ecology and economics that could be filled profitably by new theoretical developments and new management applications. Second, we discuss some fundamental issues in biological insurance theory that have remained unnoticed so far and that emerge from some of its recent applications. In particular, we draw a clear distinction between the two effects embedded in biological insurance theory, i.e. the effects of biodiversity on the mean and variability of ecosystem properties. This distinction allows explicit consideration of trade-offs between the mean and stability of ecosystem processes and services. We also review applications of biological insurance theory in ecosystem management. Finally, we provide a synthetic conceptual framework that unifies the various approaches across disciplines, and we suggest new ways in which biological insurance theory could be extended to address new issues in ecology and ecosystem management. Exciting future challenges include linking the effects of biodiversity on ecosystem functioning and stability, incorporating multiple functions and feedbacks, developing new approaches to partition biodiversity effects across scales, extending biological insurance theory to complex interaction networks, and developing new applications to biodiversity and ecosystem management.","container-title":"Biological Reviews","DOI":"10.1111/brv.12756","ISSN":"1469-185X","issue":"5","language":"en","license":"© 2021 The Authors. Biological Reviews published by John Wiley &amp; Sons Ltd on behalf of Cambridge Philosophical Society.","note":"_eprint: https://onlinelibrary.wiley.com/doi/pdf/10.1111/brv.12756","page":"2333-2354","source":"Wiley Online Library","title":"Biodiversity as insurance: from concept to measurement and application","title-short":"Biodiversity as insurance","volume":"96","author":[{"family":"Loreau","given":"Michel"},{"family":"Barbier","given":"Matthieu"},{"family":"Filotas","given":"Elise"},{"family":"Gravel","given":"Dominique"},{"family":"Isbell","given":"Forest"},{"family":"Miller","given":"Steve J."},{"family":"Montoya","given":"Jose M."},{"family":"Wang","given":"Shaopeng"},{"family":"Aussenac","given":"Raphaël"},{"family":"Germain","given":"Rachel"},{"family":"Thompson","given":"Patrick L."},{"family":"Gonzalez","given":"Andrew"},{"family":"Dee","given":"Laura E."}],"issued":{"date-parts":[["2021"]]}}}],"schema":"https://github.com/citation-style-language/schema/raw/master/csl-citation.json"}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(Loreau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and metacommunity theory </w:t>
      </w:r>
      <w:r>
        <w:fldChar w:fldCharType="begin"/>
      </w:r>
      <w:r>
        <w:rPr>
          <w:rFonts w:ascii="Times New Roman" w:hAnsi="Times New Roman" w:cs="Times New Roman"/>
          <w:sz w:val="24"/>
          <w:szCs w:val="24"/>
        </w:rPr>
        <w:instrText>ADDIN ZOTERO_ITEM CSL_CITATION {"citationID":"Nytnfrhn","properties":{"formattedCitation":"(Leibold {\\i{}et al.} 2004)","plainCitation":"(Leibold et al. 2004)","noteIndex":0},"citationItems":[{"id":4999,"uris":["http://zotero.org/users/11234172/items/LGDKCPSU"],"itemData":{"id":4999,"type":"article-journal","abstract":"The metacommunity concept is an important way to think about linkages between different spatial scales in ecology. Here we review current understanding about this concept. We first investigate issues related to its definition as a set of local communities that are linked by dispersal of multiple potentially interacting species. We then identify four paradigms for metacommunities: the patch-dynamic view, the species-sorting view, the mass effects view and the neutral view, that each emphasizes different processes of potential importance in metacommunities. These have somewhat distinct intellectual histories and we discuss elements related to their potential future synthesis. We then use this framework to discuss why the concept is useful in modifying existing ecological thinking and illustrate this with a number of both theoretical and empirical examples. As ecologists strive to understand increasingly complex mechanisms and strive to work across multiple scales of spatio-temporal organization, concepts like the metacommunity can provide important insights that frequently contrast with those that would be obtained with more conventional approaches based on local communities alone.","container-title":"Ecology Letters","DOI":"10.1111/j.1461-0248.2004.00608.x","ISSN":"1461-0248","issue":"7","language":"en","note":"_eprint: https://onlinelibrary.wiley.com/doi/pdf/10.1111/j.1461-0248.2004.00608.x","page":"601-613","source":"Wiley Online Library","title":"The metacommunity concept: a framework for multi-scale community ecology","title-short":"The metacommunity concept","volume":"7","author":[{"family":"Leibold","given":"M. A."},{"family":"Holyoak","given":"M."},{"family":"Mouquet","given":"N."},{"family":"Amarasekare","given":"P."},{"family":"Chase","given":"J. M."},{"family":"Hoopes","given":"M. F."},{"family":"Holt","given":"R. D."},{"family":"Shurin","given":"J. B."},{"family":"Law","given":"R."},{"family":"Tilman","given":"D."},{"family":"Loreau","given":"M."},{"family":"Gonzalez","given":"A."}],"issued":{"date-parts":[["2004"]]}}}],"schema":"https://github.com/citation-style-language/schema/raw/master/csl-citation.json"}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(Leibold </w:t>
      </w:r>
      <w:r>
        <w:rPr>
          <w:rFonts w:ascii="Times New Roman" w:hAnsi="Times New Roman" w:cs="Times New Roman"/>
          <w:i/>
          <w:iCs/>
          <w:sz w:val="24"/>
          <w:szCs w:val="24"/>
        </w:rPr>
        <w:t>et al.</w:t>
      </w:r>
      <w:r>
        <w:rPr>
          <w:rFonts w:ascii="Times New Roman" w:hAnsi="Times New Roman" w:cs="Times New Roman"/>
          <w:sz w:val="24"/>
          <w:szCs w:val="24"/>
        </w:rPr>
        <w:t xml:space="preserve"> 2004)</w:t>
      </w:r>
      <w:r>
        <w:rPr>
          <w:rFonts w:ascii="Times New Roman" w:hAnsi="Times New Roman" w:cs="Times New Roman"/>
          <w:sz w:val="24"/>
          <w:szCs w:val="24"/>
        </w:rPr>
        <w:fldChar w:fldCharType="end"/>
      </w:r>
      <w:r>
        <w:rPr>
          <w:rFonts w:ascii="Times New Roman" w:hAnsi="Times New Roman" w:cs="Times New Roman"/>
          <w:sz w:val="24"/>
          <w:szCs w:val="24"/>
        </w:rPr>
        <w:t xml:space="preserve"> to inform restoration decisions </w:t>
      </w:r>
      <w:r w:rsidR="008978DE">
        <w:rPr>
          <w:rFonts w:ascii="Times New Roman" w:hAnsi="Times New Roman" w:cs="Times New Roman"/>
          <w:sz w:val="24"/>
          <w:szCs w:val="24"/>
        </w:rPr>
        <w:t xml:space="preserve">and thus </w:t>
      </w:r>
      <w:r>
        <w:rPr>
          <w:rFonts w:ascii="Times New Roman" w:hAnsi="Times New Roman" w:cs="Times New Roman"/>
          <w:sz w:val="24"/>
          <w:szCs w:val="24"/>
        </w:rPr>
        <w:t xml:space="preserve">improve the speed, magnitude and efficiency of restoration activities. Yet, most restoration efforts still focus on single site-, species-, or habitat-based conservation targets </w:t>
      </w:r>
      <w:r>
        <w:fldChar w:fldCharType="begin"/>
      </w:r>
      <w:r>
        <w:rPr>
          <w:rFonts w:ascii="Times New Roman" w:hAnsi="Times New Roman" w:cs="Times New Roman"/>
          <w:sz w:val="24"/>
          <w:szCs w:val="24"/>
        </w:rPr>
        <w:instrText>ADDIN ZOTERO_ITEM CSL_CITATION {"citationID":"4CnX5q94","properties":{"formattedCitation":"(Ockendon {\\i{}et al.} 2025)","plainCitation":"(Ockendon et al. 2025)","noteIndex":0},"citationItems":[{"id":5628,"uris":["http://zotero.org/users/11234172/items/5CVPWPN5"],"itemData":{"id":5628,"type":"article-journal","abstract":"Stepping up ecosystem restoration is critical to achieving pressing policy targets, but as well as significant benefits, there are also multiple challenges particularly associated with restoring at landscape scale. These relate to the complexity of ecosystems, land uses, and social factors within a landscape and the scale at which sustainable funding and effective monitoring are required. Here we present a summary of discussions from a symposium at the Society for Ecological Restoration—Europe conference, addressing five key topics related to scaling up restoration in Europe: implementation, stakeholder engagement, local economies, financing, and monitoring. Common barriers include inflexible political systems and traditional conservation project thinking, as well as the complexities and time required to work effectively and sustainably across disciplines, sectors, and geographical boundaries. However, opportunities are identified in relation to innovative financing systems and monitoring technologies, the development of nature-based economies, and the strength and sustainability that comes from effectively and deeply engaging a wide diversity of stakeholders. Capitalizing on these prospects could enable landscape-scale ecosystem restoration to play a significant role in meeting global targets for nature, climate, and people.","container-title":"Restoration Ecology","DOI":"10.1111/rec.70075","ISSN":"1526-100X","issue":"5","language":"en","license":"© 2025 The Author(s). Restoration Ecology published by Wiley Periodicals LLC on behalf of Society for Ecological Restoration.","note":"_eprint: https://onlinelibrary.wiley.com/doi/pdf/10.1111/rec.70075","page":"e70075","source":"Wiley Online Library","title":"Overcoming barriers and leveraging opportunities to scale up landscape-scale restoration in Europe","volume":"33","author":[{"family":"Ockendon","given":"Nancy"},{"family":"Shaw","given":"Taylor"},{"family":"Bautista","given":"Susana"},{"family":"Bhattacharjee","given":"Anushree"},{"family":"Cortina-Segarra","given":"Jordi"},{"family":"Iordache","given":"Virgil"},{"family":"López","given":"Vanessa O."},{"family":"Thomas","given":"David"},{"family":"Satyal","given":"Poshendra"},{"family":"Van doninck","given":"Jasper"},{"family":"Birk","given":"Sebastian"}],"issued":{"date-parts":[["2025"]]}}}],"schema":"https://github.com/citation-style-language/schema/raw/master/csl-citation.json"}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(Ockendon </w:t>
      </w:r>
      <w:r>
        <w:rPr>
          <w:rFonts w:ascii="Times New Roman" w:hAnsi="Times New Roman" w:cs="Times New Roman"/>
          <w:i/>
          <w:iCs/>
          <w:sz w:val="24"/>
          <w:szCs w:val="24"/>
        </w:rPr>
        <w:t>et al.</w:t>
      </w:r>
      <w:r>
        <w:rPr>
          <w:rFonts w:ascii="Times New Roman" w:hAnsi="Times New Roman" w:cs="Times New Roman"/>
          <w:sz w:val="24"/>
          <w:szCs w:val="24"/>
        </w:rPr>
        <w:t xml:space="preserve"> 2025)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DB3D2B7" w14:textId="60E7E8CC" w:rsidR="00ED3D4B" w:rsidRDefault="00B1308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agricultural landscapes, restoration activities are typically implemented in a spatially patchy manner, targeting the recovery of seminatural elements and specific habitats. Despite this spatial fragmentation, restored patches </w:t>
      </w:r>
      <w:r w:rsidR="007E1B57">
        <w:rPr>
          <w:rFonts w:ascii="Times New Roman" w:hAnsi="Times New Roman" w:cs="Times New Roman"/>
          <w:sz w:val="24"/>
          <w:szCs w:val="24"/>
        </w:rPr>
        <w:t xml:space="preserve">can </w:t>
      </w:r>
      <w:r w:rsidR="00CA28B7">
        <w:rPr>
          <w:rFonts w:ascii="Times New Roman" w:hAnsi="Times New Roman" w:cs="Times New Roman"/>
          <w:sz w:val="24"/>
          <w:szCs w:val="24"/>
        </w:rPr>
        <w:t>remain</w:t>
      </w:r>
      <w:r w:rsidR="007E1B57">
        <w:rPr>
          <w:rFonts w:ascii="Times New Roman" w:hAnsi="Times New Roman" w:cs="Times New Roman"/>
          <w:sz w:val="24"/>
          <w:szCs w:val="24"/>
        </w:rPr>
        <w:t xml:space="preserve"> </w:t>
      </w:r>
      <w:r>
        <w:rPr>
          <w:rFonts w:ascii="Times New Roman" w:hAnsi="Times New Roman" w:cs="Times New Roman"/>
          <w:sz w:val="24"/>
          <w:szCs w:val="24"/>
        </w:rPr>
        <w:t xml:space="preserve">ecologically connected through the movement and dispersal of interacting organisms, forming metacommunities </w:t>
      </w:r>
      <w:r>
        <w:fldChar w:fldCharType="begin"/>
      </w:r>
      <w:r>
        <w:rPr>
          <w:rFonts w:ascii="Times New Roman" w:hAnsi="Times New Roman" w:cs="Times New Roman"/>
          <w:sz w:val="24"/>
          <w:szCs w:val="24"/>
        </w:rPr>
        <w:instrText>ADDIN ZOTERO_ITEM CSL_CITATION {"citationID":"shaVgFfi","properties":{"formattedCitation":"(Leibold {\\i{}et al.} 2004)","plainCitation":"(Leibold et al. 2004)","noteIndex":0},"citationItems":[{"id":4999,"uris":["http://zotero.org/users/11234172/items/LGDKCPSU"],"itemData":{"id":4999,"type":"article-journal","abstract":"The metacommunity concept is an important way to think about linkages between different spatial scales in ecology. Here we review current understanding about this concept. We first investigate issues related to its definition as a set of local communities that are linked by dispersal of multiple potentially interacting species. We then identify four paradigms for metacommunities: the patch-dynamic view, the species-sorting view, the mass effects view and the neutral view, that each emphasizes different processes of potential importance in metacommunities. These have somewhat distinct intellectual histories and we discuss elements related to their potential future synthesis. We then use this framework to discuss why the concept is useful in modifying existing ecological thinking and illustrate this with a number of both theoretical and empirical examples. As ecologists strive to understand increasingly complex mechanisms and strive to work across multiple scales of spatio-temporal organization, concepts like the metacommunity can provide important insights that frequently contrast with those that would be obtained with more conventional approaches based on local communities alone.","container-title":"Ecology Letters","DOI":"10.1111/j.1461-0248.2004.00608.x","ISSN":"1461-0248","issue":"7","language":"en","note":"_eprint: https://onlinelibrary.wiley.com/doi/pdf/10.1111/j.1461-0248.2004.00608.x","page":"601-613","source":"Wiley Online Library","title":"The metacommunity concept: a framework for multi-scale community ecology","title-short":"The metacommunity concept","volume":"7","author":[{"family":"Leibold","given":"M. A."},{"family":"Holyoak","given":"M."},{"family":"Mouquet","given":"N."},{"family":"Amarasekare","given":"P."},{"family":"Chase","given":"J. M."},{"family":"Hoopes","given":"M. F."},{"family":"Holt","given":"R. D."},{"family":"Shurin","given":"J. B."},{"family":"Law","given":"R."},{"family":"Tilman","given":"D."},{"family":"Loreau","given":"M."},{"family":"Gonzalez","given":"A."}],"issued":{"date-parts":[["2004"]]}}}],"schema":"https://github.com/citation-style-language/schema/raw/master/csl-citation.json"}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(Leibold </w:t>
      </w:r>
      <w:r>
        <w:rPr>
          <w:rFonts w:ascii="Times New Roman" w:hAnsi="Times New Roman" w:cs="Times New Roman"/>
          <w:i/>
          <w:iCs/>
          <w:sz w:val="24"/>
          <w:szCs w:val="24"/>
        </w:rPr>
        <w:t>et al.</w:t>
      </w:r>
      <w:r>
        <w:rPr>
          <w:rFonts w:ascii="Times New Roman" w:hAnsi="Times New Roman" w:cs="Times New Roman"/>
          <w:sz w:val="24"/>
          <w:szCs w:val="24"/>
        </w:rPr>
        <w:t xml:space="preserve"> 2004)</w:t>
      </w:r>
      <w:r>
        <w:rPr>
          <w:rFonts w:ascii="Times New Roman" w:hAnsi="Times New Roman" w:cs="Times New Roman"/>
          <w:sz w:val="24"/>
          <w:szCs w:val="24"/>
        </w:rPr>
        <w:fldChar w:fldCharType="end"/>
      </w:r>
      <w:r>
        <w:rPr>
          <w:rFonts w:ascii="Times New Roman" w:hAnsi="Times New Roman" w:cs="Times New Roman"/>
          <w:sz w:val="24"/>
          <w:szCs w:val="24"/>
        </w:rPr>
        <w:t>. Within these metacommunities, the diversity and structural organization of biotic interactions are crucial determinants of ecosystem stability and multifunctionality, influencing local communities as well as processes</w:t>
      </w:r>
      <w:r>
        <w:t xml:space="preserve"> </w:t>
      </w:r>
      <w:r>
        <w:rPr>
          <w:rFonts w:ascii="Times New Roman" w:hAnsi="Times New Roman" w:cs="Times New Roman"/>
          <w:sz w:val="24"/>
          <w:szCs w:val="24"/>
        </w:rPr>
        <w:t xml:space="preserve">operating across spatial scales </w:t>
      </w:r>
      <w:r>
        <w:fldChar w:fldCharType="begin"/>
      </w:r>
      <w:r w:rsidR="000C6146">
        <w:rPr>
          <w:rFonts w:ascii="Times New Roman" w:hAnsi="Times New Roman" w:cs="Times New Roman"/>
          <w:sz w:val="24"/>
          <w:szCs w:val="24"/>
        </w:rPr>
        <w:instrText xml:space="preserve"> ADDIN ZOTERO_ITEM CSL_CITATION {"citationID":"JM7MkXx7","properties":{"formattedCitation":"(Leibold {\\i{}et al.} 2017; Moreno-Mateos {\\i{}et al.} 2020; van der Plas 2019)","plainCitation":"(Leibold et al. 2017; Moreno-Mateos et al. 2020; van der Plas 2019)","noteIndex":0},"citationItems":[{"id":5533,"uris":["http://zotero.org/users/11234172/items/24AYU2GE"],"itemData":{"id":5533,"type":"article-journal","abstract":"Recent work linking community structure and ecosystem function has primarily focused on the effects of local species richness but has neglected the dispersal-dependent processes of community assembly that are ultimately involved in determining community structure and its relation to ecosystems. Here we combine simple consumer-resource competition models and metacommunity theory with discussion of case studies to outline how spatial processes within metacommunities can alter community assembly and modify expectations about how species diversity and composition influence ecosystem attributes at local scales. We argue that when community assembly is strongly limited by dispersal, this can constrain ecosystem functioning by reducing positive selection effects (reducing the probability of the most productive species becoming dominant) even though it may often also enhance complementarity (favoring combinations of species that enhance production even though they may not individually be most productive). Conversely, excess dispersal with strong source-sink relations among heterogeneous habitats can reduce ecosystem functioning by swamping local filters that would normally favor better-suited species. Ecosystem function is thus most likely maximized at intermediate levels of dispersal where both of these effects are minimized. In this scenario, we find that the selection effect is maximized, while complementarity is often reduced and local diversity may often be relatively low. Our synthesis emphasizes that it is the entire set of community assembly processes that affect the functioning of ecosystems, not just the part that determines local species richness.","container-title":"Ecology","DOI":"10.1002/ecy.1697","ISSN":"1939-9170","issue":"4","language":"en","license":"© 2016 by the Ecological Society of America","note":"_eprint: https://esajournals.onlinelibrary.wiley.com/doi/pdf/10.1002/ecy.1697","page":"909-919","source":"Wiley Online Library","title":"Community assembly and the functioning of ecosystems: how metacommunity processes alter ecosystems attributes","title-short":"Community assembly and the functioning of ecosystems","volume":"98","author":[{"family":"Leibold","given":"Mathew A."},{"family":"Chase","given":"Jonathan M."},{"family":"Ernest","given":"S. K. Morgan"}],"issued":{"date-parts":[["2017"]]}}},{"id":"YSu58Pgw/J1rSzzAD","uris":["http://zotero.org/users/11234172/items/VBFPIFXH"],"itemData":{"id":"yga6a78D/iww9CgGh","type":"article-journal","abstract":"Multiple large-scale restoration strategies are emerging globally to counteract ecosystem degradation and biodiversity loss. However, restoration often remains insufficient to offset that loss. To address this challenge, we propose to focus restoration science on the long-term (centuries to millennia) re-assembly of degraded ecosystem complexity integrating interaction network and evolutionary potential approaches. This approach provides insights into eco-evolutionary feedbacks determining the structure, functioning and stability of recovering ecosystems. Eco-evolutionary feedbacks may help to understand changes in the adaptive potential after disturbance of metacommunity hub species with core structural and functional roles for their use in restoration. Those changes can be studied combining a restoration genomics approach based on whole-genome sequencing with replicated space-for-time substitutions linking changes in genetic variation to functions or traits relevant to the establishment of evolutionarily resilient communities. This approach may set the knowledge basis for future tools to accelerate the restoration of ecosystems able to adapt to ongoing global changes.","container-title":"Nature Ecology &amp; Evolution","DOI":"10.1038/s41559-020-1154-1","ISSN":"2397-334X","issue":"5","journalAbbreviation":"Nat Ecol Evol","language":"en","license":"2020 Springer Nature Limited","note":"publisher: Nature Publishing Group","page":"676-685","source":"www.nature.com","title":"The long-term restoration of ecosystem complexity","volume":"4","author":[{"family":"Moreno-Mateos","given":"David"},{"family":"Alberdi","given":"Antton"},{"family":"Morriën","given":"Elly"},{"family":"Putten","given":"Wim H.","non-dropping-particle":"van der"},{"family":"Rodríguez-Uña","given":"Asun"},{"family":"Montoya","given":"Daniel"}],"issued":{"date-parts":[["2020",5]]},"citation-key":"moreno-mateos2020nee"}},{"id":3844,"uris":["http://zotero.org/users/11234172/items/I39UM857"],"itemData":{"id":3844,"type":"article-journal","abstract":"Approximately 25 years ago, ecologists became increasingly interested in the question of whether ongoing biodiversity loss matters for the functioning of ecosystems. As such, a new ecological subfield on Biodiversity and Ecosystem Functioning (BEF) was born. This subfield was initially dominated by theoretical studies and by experiments in which biodiversity was manipulated, and responses of ecosystem functions such as biomass production, decomposition rates, carbon sequestration, trophic interactions and pollination were assessed. More recently, an increasing number of studies have investigated BEF relationships in non-manipulated ecosystems, but reviews synthesizing our knowledge on the importance of real-world biodiversity are still largely missing. I performed a systematic review in order to assess how biodiversity drives ecosystem functioning in both terrestrial and aquatic, naturally assembled communities, and on how important biodiversity is compared to other factors, including other aspects of community composition and abiotic conditions. The outcomes of 258 published studies, which reported 726 BEF relationships, revealed that in many cases, biodiversity promotes average biomass production and its temporal stability, and pollination success. For decomposition rates and ecosystem multifunctionality, positive effects of biodiversity outnumbered negative effects, but neutral relationships were even more common. Similarly, negative effects of prey biodiversity on pathogen and herbivore damage outnumbered positive effects, but were less common than neutral relationships. Finally, there was no evidence that biodiversity is related to soil carbon storage. Most BEF studies focused on the effects of taxonomic diversity, however, metrics of functional diversity were generally stronger predictors of ecosystem functioning. Furthermo</w:instrText>
      </w:r>
      <w:r w:rsidR="000C6146" w:rsidRPr="000C6146">
        <w:rPr>
          <w:rFonts w:ascii="Times New Roman" w:hAnsi="Times New Roman" w:cs="Times New Roman"/>
          <w:sz w:val="24"/>
          <w:szCs w:val="24"/>
          <w:lang w:val="es-ES"/>
        </w:rPr>
        <w:instrText xml:space="preserve">re, in most studies, abiotic factors and functional composition (e.g. the presence of a certain functional group) were stronger drivers of ecosystem functioning than biodiversity per se. While experiments suggest that positive biodiversity effects become stronger at larger spatial scales, in naturally assembled communities this idea is too poorly studied to draw general conclusions. In summary, a high biodiversity in naturally assembled communities positively drives various ecosystem functions. At the same time, the strength and direction of these effects vary highly among studies, and factors other than biodiversity can be even more important in driving ecosystem functioning. Thus, to promote those ecosystem functions that underpin human well-being, conservation should not only promote biodiversity per se, but also the abiotic conditions favouring species with suitable trait combinations.","container-title":"Biological Reviews","DOI":"10.1111/brv.12499","ISSN":"1469-185X","issue":"4","language":"en","license":"© 2019 Cambridge Philosophical Society","note":"_eprint: https://onlinelibrary.wiley.com/doi/pdf/10.1111/brv.12499","page":"1220-1245","source":"Wiley Online Library","title":"Biodiversity and ecosystem functioning in naturally assembled communities","volume":"94","author":[{"family":"Plas","given":"Fons","non-dropping-particle":"van der"}],"issued":{"date-parts":[["2019"]]}}}],"schema":"https://github.com/citation-style-language/schema/raw/master/csl-citation.json"} </w:instrText>
      </w:r>
      <w:r>
        <w:rPr>
          <w:rFonts w:ascii="Times New Roman" w:hAnsi="Times New Roman" w:cs="Times New Roman"/>
          <w:sz w:val="24"/>
          <w:szCs w:val="24"/>
        </w:rPr>
        <w:fldChar w:fldCharType="separate"/>
      </w:r>
      <w:r w:rsidRPr="00353C6E">
        <w:rPr>
          <w:rFonts w:ascii="Times New Roman" w:hAnsi="Times New Roman" w:cs="Times New Roman"/>
          <w:sz w:val="24"/>
          <w:szCs w:val="24"/>
          <w:lang w:val="nl-NL"/>
        </w:rPr>
        <w:t xml:space="preserve">(Leibold </w:t>
      </w:r>
      <w:r w:rsidRPr="00353C6E">
        <w:rPr>
          <w:rFonts w:ascii="Times New Roman" w:hAnsi="Times New Roman" w:cs="Times New Roman"/>
          <w:i/>
          <w:iCs/>
          <w:sz w:val="24"/>
          <w:szCs w:val="24"/>
          <w:lang w:val="nl-NL"/>
        </w:rPr>
        <w:t>et al.</w:t>
      </w:r>
      <w:r w:rsidRPr="00353C6E">
        <w:rPr>
          <w:rFonts w:ascii="Times New Roman" w:hAnsi="Times New Roman" w:cs="Times New Roman"/>
          <w:sz w:val="24"/>
          <w:szCs w:val="24"/>
          <w:lang w:val="nl-NL"/>
        </w:rPr>
        <w:t xml:space="preserve"> 2017; Moreno-Mateos </w:t>
      </w:r>
      <w:r w:rsidRPr="00353C6E">
        <w:rPr>
          <w:rFonts w:ascii="Times New Roman" w:hAnsi="Times New Roman" w:cs="Times New Roman"/>
          <w:i/>
          <w:iCs/>
          <w:sz w:val="24"/>
          <w:szCs w:val="24"/>
          <w:lang w:val="nl-NL"/>
        </w:rPr>
        <w:t>et al.</w:t>
      </w:r>
      <w:r w:rsidRPr="00353C6E">
        <w:rPr>
          <w:rFonts w:ascii="Times New Roman" w:hAnsi="Times New Roman" w:cs="Times New Roman"/>
          <w:sz w:val="24"/>
          <w:szCs w:val="24"/>
          <w:lang w:val="nl-NL"/>
        </w:rPr>
        <w:t xml:space="preserve"> 2020; van der Plas 2019)</w:t>
      </w:r>
      <w:r>
        <w:rPr>
          <w:rFonts w:ascii="Times New Roman" w:hAnsi="Times New Roman" w:cs="Times New Roman"/>
          <w:sz w:val="24"/>
          <w:szCs w:val="24"/>
        </w:rPr>
        <w:fldChar w:fldCharType="end"/>
      </w:r>
      <w:r w:rsidRPr="00353C6E">
        <w:rPr>
          <w:rFonts w:ascii="Times New Roman" w:hAnsi="Times New Roman" w:cs="Times New Roman"/>
          <w:sz w:val="24"/>
          <w:szCs w:val="24"/>
          <w:lang w:val="nl-NL"/>
        </w:rPr>
        <w:t xml:space="preserve">. </w:t>
      </w:r>
      <w:r>
        <w:rPr>
          <w:rFonts w:ascii="Times New Roman" w:hAnsi="Times New Roman" w:cs="Times New Roman"/>
          <w:sz w:val="24"/>
          <w:szCs w:val="24"/>
        </w:rPr>
        <w:t xml:space="preserve">Consequently, maintaining a high diversity of interactions and ecological cohesion at large scales is essential for the success of restoration initiatives </w:t>
      </w:r>
      <w:r>
        <w:fldChar w:fldCharType="begin"/>
      </w:r>
      <w:r>
        <w:rPr>
          <w:rFonts w:ascii="Times New Roman" w:hAnsi="Times New Roman" w:cs="Times New Roman"/>
          <w:sz w:val="24"/>
          <w:szCs w:val="24"/>
        </w:rPr>
        <w:instrText>ADDIN ZOTERO_ITEM CSL_CITATION {"citationID":"TyFifC7t","properties":{"formattedCitation":"(Holl {\\i{}et al.} 2022)","plainCitation":"(Holl et al. 2022)","noteIndex":0},"citationItems":[{"id":4192,"uris":["http://zotero.org/users/11234172/items/E6E9MIWU"],"itemData":{"id":4192,"type":"article-journal","abstract":"Extensive evidence shows that regional (gamma) diversity is often lower across restored landscapes than in reference landscapes, in part due to common restoration practices that favor widespread species through selection of easily-grown species with high survival and propagation practices that reduce genetic diversity. We discuss approaches to counteract biotic homogenization, such as reintroducing species that are adapted to localized habitat conditions and are unlikely to colonize naturally; periodically reintroducing propagules from remnant populations to increase genetic diversity; and reintroducing higher trophic level fauna to restore interaction networks and processes that promote habitat heterogeneity. Several policy changes would also increase regional diversity; these include regional coordination amongst restoration groups, financial incentives to organizations producing conservation-valued species, and experimental designations for rare species introductions.","container-title":"Trends in Ecology &amp; Evolution","DOI":"10.1016/j.tree.2022.05.002","ISSN":"0169-5347","issue":"9","journalAbbreviation":"Trends in Ecology &amp; Evolution","page":"777-788","source":"ScienceDirect","title":"Overcoming biotic homogenization in ecological restoration","volume":"37","author":[{"family":"Holl","given":"Karen D."},{"family":"Luong","given":"Justin C."},{"family":"Brancalion","given":"Pedro H. S."}],"issued":{"date-parts":[["2022",9,1]]}}}],"schema":"https://github.com/citation-style-language/schema/raw/master/csl-citation.json"}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(Holl </w:t>
      </w:r>
      <w:r>
        <w:rPr>
          <w:rFonts w:ascii="Times New Roman" w:hAnsi="Times New Roman" w:cs="Times New Roman"/>
          <w:i/>
          <w:iCs/>
          <w:sz w:val="24"/>
          <w:szCs w:val="24"/>
        </w:rPr>
        <w:t>et al.</w:t>
      </w:r>
      <w:r>
        <w:rPr>
          <w:rFonts w:ascii="Times New Roman" w:hAnsi="Times New Roman" w:cs="Times New Roman"/>
          <w:sz w:val="24"/>
          <w:szCs w:val="24"/>
        </w:rPr>
        <w:t xml:space="preserve">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Start w:id="4" w:name="_Hlk205210736"/>
      <w:r>
        <w:rPr>
          <w:rFonts w:ascii="Times New Roman" w:hAnsi="Times New Roman" w:cs="Times New Roman"/>
          <w:sz w:val="24"/>
          <w:szCs w:val="24"/>
        </w:rPr>
        <w:t xml:space="preserve">This involves </w:t>
      </w:r>
      <w:r>
        <w:rPr>
          <w:rFonts w:ascii="Times New Roman" w:hAnsi="Times New Roman" w:cs="Times New Roman"/>
          <w:sz w:val="24"/>
          <w:szCs w:val="24"/>
        </w:rPr>
        <w:lastRenderedPageBreak/>
        <w:t>increasing the spatial redundancy of interacti</w:t>
      </w:r>
      <w:bookmarkEnd w:id="4"/>
      <w:r>
        <w:rPr>
          <w:rFonts w:ascii="Times New Roman" w:hAnsi="Times New Roman" w:cs="Times New Roman"/>
          <w:sz w:val="24"/>
          <w:szCs w:val="24"/>
        </w:rPr>
        <w:t xml:space="preserve">ons, which can buffer local disturbances, thereby maintaining ecosystem processes at regional scales </w:t>
      </w:r>
      <w:r>
        <w:fldChar w:fldCharType="begin"/>
      </w:r>
      <w:r>
        <w:rPr>
          <w:rFonts w:ascii="Times New Roman" w:hAnsi="Times New Roman" w:cs="Times New Roman"/>
          <w:sz w:val="24"/>
          <w:szCs w:val="24"/>
        </w:rPr>
        <w:instrText>ADDIN ZOTERO_ITEM CSL_CITATION {"citationID":"tKScwfEK","properties":{"formattedCitation":"(Segrestin {\\i{}et al.} 2025)","plainCitation":"(Segrestin et al. 2025)","noteIndex":0},"citationItems":[{"id":5648,"uris":["http://zotero.org/users/11234172/items/PRFFEBZM"],"itemData":{"id":5648,"type":"article-journal","abstract":"Biodiversity loss poses a significant threat to ecosystem functioning. However, much of the empirical evidence for these effects is based on artificial experiments that often fail to simulate the structure of natural communities. Hence, it is still unclear whether natural diversity losses would significantly affect the functioning of “real-world” ecosystems. As subordinate and rare species constitute most of the diversity in natural communities and are often more vulnerable to local extinction, we evaluated their contribution to ecosystem functioning in a naturally species-rich grassland. We focused on two mechanisms by which they can support ecosystem functions: redundancy and complementarity. We conducted two long-term field experiments (&gt;6 years) simulating contrasting biodiversity loss scenarios through the manual removal of plant species and measured the consequences of species loss on various ecosystem functions related to carbon dynamics. The latter were examined seasonally to explore diversity effects outside the typical peak of vegetation. We found that dominant removal led to substantial reductions in aboveground phytomass and litter production and altered the annual carbon fixation capacity of the vegetation, highlighting the pivotal role of dominant species in driving ecosystem functioning. Despite high species diversity, other species could not fully compensate for the loss of a single dominant even after more than 25 years, challenging assumptions about redundancy. Complementarity effects were not detected at the peak of vegetation but were evident in early spring and autumn when subordinate and rare species enhanced ecosystem functions. Surprisingly, belowground phytomass, soil organic carbon content, and litter decomposition were unaffected by species removal, suggesting complex interactions in belowground processes. These findings underscore the importance of dominant species in maintaining ecosystem functioning and emphasize the need for nuanced approaches to studying biodiversity loss in real-world communities. Comprehensive seasonal measurements are essential for accurately discerning the effects of biodiversity on ecosystem dynamics and informing effective conservation strategies that maintain ecosystem functioning.","container-title":"Ecology","DOI":"10.1002/ecy.70091","ISSN":"1939-9170","issue":"5","language":"en","license":"© 2025 The Author(s). Ecology published by Wiley Periodicals LLC on behalf of The Ecological Society of America.","note":"_eprint: https://esajournals.onlinelibrary.wiley.com/doi/pdf/10.1002/ecy.70091","page":"e70091","source":"Wiley Online Library","title":"Biodiversity loss disrupts seasonal carbon dynamics in a species-rich temperate grassland","volume":"106","author":[{"family":"Segrestin","given":"Jules"},{"family":"Lisner","given":"Aleš"},{"family":"Götzenberger","given":"Lars"},{"family":"Hájek","given":"Tomáš"},{"family":"Janíková","given":"Eva"},{"family":"Jílková","given":"Veronika"},{"family":"Konečná","given":"Marie"},{"family":"Švancárová","given":"Tereza"},{"family":"Lepš","given":"Jan"}],"issued":{"date-parts":[["2025"]]}}}],"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(Segrestin </w:t>
      </w:r>
      <w:r>
        <w:rPr>
          <w:rFonts w:ascii="Times New Roman" w:hAnsi="Times New Roman" w:cs="Times New Roman"/>
          <w:i/>
          <w:iCs/>
          <w:sz w:val="24"/>
          <w:szCs w:val="24"/>
        </w:rPr>
        <w:t>et al.</w:t>
      </w:r>
      <w:r>
        <w:rPr>
          <w:rFonts w:ascii="Times New Roman" w:hAnsi="Times New Roman" w:cs="Times New Roman"/>
          <w:sz w:val="24"/>
          <w:szCs w:val="24"/>
        </w:rPr>
        <w:t xml:space="preserve"> 2025)</w:t>
      </w:r>
      <w:r>
        <w:rPr>
          <w:rFonts w:ascii="Times New Roman" w:hAnsi="Times New Roman" w:cs="Times New Roman"/>
          <w:sz w:val="24"/>
          <w:szCs w:val="24"/>
        </w:rPr>
        <w:fldChar w:fldCharType="end"/>
      </w:r>
      <w:r>
        <w:rPr>
          <w:rFonts w:ascii="Times New Roman" w:hAnsi="Times New Roman" w:cs="Times New Roman"/>
          <w:sz w:val="24"/>
          <w:szCs w:val="24"/>
        </w:rPr>
        <w:t xml:space="preserve">. Moreover, complementarity of interactions </w:t>
      </w:r>
      <w:r w:rsidR="00CA28B7">
        <w:rPr>
          <w:rFonts w:ascii="Times New Roman" w:hAnsi="Times New Roman" w:cs="Times New Roman"/>
          <w:sz w:val="24"/>
          <w:szCs w:val="24"/>
        </w:rPr>
        <w:t xml:space="preserve">also </w:t>
      </w:r>
      <w:r>
        <w:rPr>
          <w:rFonts w:ascii="Times New Roman" w:hAnsi="Times New Roman" w:cs="Times New Roman"/>
          <w:sz w:val="24"/>
          <w:szCs w:val="24"/>
        </w:rPr>
        <w:t>provides</w:t>
      </w:r>
      <w:r w:rsidR="00CA28B7">
        <w:rPr>
          <w:rFonts w:ascii="Times New Roman" w:hAnsi="Times New Roman" w:cs="Times New Roman"/>
          <w:sz w:val="24"/>
          <w:szCs w:val="24"/>
        </w:rPr>
        <w:t xml:space="preserve"> </w:t>
      </w:r>
      <w:r>
        <w:rPr>
          <w:rFonts w:ascii="Times New Roman" w:hAnsi="Times New Roman" w:cs="Times New Roman"/>
          <w:sz w:val="24"/>
          <w:szCs w:val="24"/>
        </w:rPr>
        <w:t xml:space="preserve">spatial insurance and enhances metacommunity stability </w:t>
      </w:r>
      <w:r>
        <w:fldChar w:fldCharType="begin"/>
      </w:r>
      <w:r>
        <w:rPr>
          <w:rFonts w:ascii="Times New Roman" w:hAnsi="Times New Roman" w:cs="Times New Roman"/>
          <w:sz w:val="24"/>
          <w:szCs w:val="24"/>
        </w:rPr>
        <w:instrText>ADDIN ZOTERO_ITEM CSL_CITATION {"citationID":"wqXoYhZd","properties":{"formattedCitation":"(Loreau {\\i{}et al.} 2021)","plainCitation":"(Loreau et al. 2021)","noteIndex":0},"citationItems":[{"id":5623,"uris":["http://zotero.org/users/11234172/items/GIB8RQI2"],"itemData":{"id":5623,"type":"article-journal","abstract":"Biological insurance theory predicts that, in a variable environment, aggregate ecosystem properties will vary less in more diverse communities because declines in the performance or abundance of some species or phenotypes will be offset, at least partly, by smoother declines or increases in others. During the past two decades, ecology has accumulated strong evidence for the stabilising effect of biodiversity on ecosystem functioning. As biological insurance is reaching the stage of a mature theory, it is critical to revisit and clarify its conceptual foundations to guide future developments, applications and measurements. In this review, we first clarify the connections between the insurance and portfolio concepts that have been used in ecology and the economic concepts that inspired them. Doing so points to gaps and mismatches between ecology and economics that could be filled profitably by new theoretical developments and new management applications. Second, we discuss some fundamental issues in biological insurance theory that have remained unnoticed so far and that emerge from some of its recent applications. In particular, we draw a clear distinction between the two effects embedded in biological insurance theory, i.e. the effects of biodiversity on the mean and variability of ecosystem properties. This distinction allows explicit consideration of trade-offs between the mean and stability of ecosystem processes and services. We also review applications of biological insurance theory in ecosystem management. Finally, we provide a synthetic conceptual framework that unifies the various approaches across disciplines, and we suggest new ways in which biological insurance theory could be extended to address new issues in ecology and ecosystem management. Exciting future challenges include linking the effects of biodiversity on ecosystem functioning and stability, incorporating multiple functions and feedbacks, developing new approaches to partition biodiversity effects across scales, extending biological insurance theory to complex interaction networks, and developing new applications to biodiversity and ecosystem management.","container-title":"Biological Reviews","DOI":"10.1111/brv.12756","ISSN":"1469-185X","issue":"5","language":"en","license":"© 2021 The Authors. Biological Reviews published by John Wiley &amp; Sons Ltd on behalf of Cambridge Philosophical Society.","note":"_eprint: https://onlinelibrary.wiley.com/doi/pdf/10.1111/brv.12756","page":"2333-2354","source":"Wiley Online Library","title":"Biodiversity as insurance: from concept to measurement and application","title-short":"Biodiversity as insurance","volume":"96","author":[{"family":"Loreau","given":"Michel"},{"family":"Barbier","given":"Matthieu"},{"family":"Filotas","given":"Elise"},{"family":"Gravel","given":"Dominique"},{"family":"Isbell","given":"Forest"},{"family":"Miller","given":"Steve J."},{"family":"Montoya","given":"Jose M."},{"family":"Wang","given":"Shaopeng"},{"family":"Aussenac","given":"Raphaël"},{"family":"Germain","given":"Rachel"},{"family":"Thompson","given":"Patrick L."},{"family":"Gonzalez","given":"Andrew"},{"family":"Dee","given":"Laura E."}],"issued":{"date-parts":[["2021"]]}}}],"schema":"https://github.com/citation-style-language/schema/raw/master/csl-citation.json"}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(Loreau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Nevertheless, significant knowledge gaps persist regarding how to best enhance metacommunity stability and ecosystem multifunctionality at large scales through restoration, mostly because of the associated ecological complexity </w:t>
      </w:r>
      <w:r>
        <w:fldChar w:fldCharType="begin"/>
      </w:r>
      <w:r>
        <w:rPr>
          <w:rFonts w:ascii="Times New Roman" w:hAnsi="Times New Roman" w:cs="Times New Roman"/>
          <w:sz w:val="24"/>
          <w:szCs w:val="24"/>
        </w:rPr>
        <w:instrText>ADDIN ZOTERO_ITEM CSL_CITATION {"citationID":"xE10XCF4","properties":{"formattedCitation":"(Ockendon {\\i{}et al.} 2025)","plainCitation":"(Ockendon et al. 2025)","noteIndex":0},"citationItems":[{"id":5628,"uris":["http://zotero.org/users/11234172/items/5CVPWPN5"],"itemData":{"id":5628,"type":"article-journal","abstract":"Stepping up ecosystem restoration is critical to achieving pressing policy targets, but as well as significant benefits, there are also multiple challenges particularly associated with restoring at landscape scale. These relate to the complexity of ecosystems, land uses, and social factors within a landscape and the scale at which sustainable funding and effective monitoring are required. Here we present a summary of discussions from a symposium at the Society for Ecological Restoration—Europe conference, addressing five key topics related to scaling up restoration in Europe: implementation, stakeholder engagement, local economies, financing, and monitoring. Common barriers include inflexible political systems and traditional conservation project thinking, as well as the complexities and time required to work effectively and sustainably across disciplines, sectors, and geographical boundaries. However, opportunities are identified in relation to innovative financing systems and monitoring technologies, the development of nature-based economies, and the strength and sustainability that comes from effectively and deeply engaging a wide diversity of stakeholders. Capitalizing on these prospects could enable landscape-scale ecosystem restoration to play a significant role in meeting global targets for nature, climate, and people.","container-title":"Restoration Ecology","DOI":"10.1111/rec.70075","ISSN":"1526-100X","issue":"5","language":"en","license":"© 2025 The Author(s). Restoration Ecology published by Wiley Periodicals LLC on behalf of Society for Ecological Restoration.","note":"_eprint: https://onlinelibrary.wiley.com/doi/pdf/10.1111/rec.70075","page":"e70075","source":"Wiley Online Library","title":"Overcoming barriers and leveraging opportunities to scale up landscape-scale restoration in Europe","volume":"33","author":[{"family":"Ockendon","given":"Nancy"},{"family":"Shaw","given":"Taylor"},{"family":"Bautista","given":"Susana"},{"family":"Bhattacharjee","given":"Anushree"},{"family":"Cortina-Segarra","given":"Jordi"},{"family":"Iordache","given":"Virgil"},{"family":"López","given":"Vanessa O."},{"family":"Thomas","given":"David"},{"family":"Satyal","given":"Poshendra"},{"family":"Van doninck","given":"Jasper"},{"family":"Birk","given":"Sebastian"}],"issued":{"date-parts":[["2025"]]}}}],"schema":"https://github.com/citation-style-language/schema/raw/master/csl-citation.json"}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(Ockendon </w:t>
      </w:r>
      <w:r>
        <w:rPr>
          <w:rFonts w:ascii="Times New Roman" w:hAnsi="Times New Roman" w:cs="Times New Roman"/>
          <w:i/>
          <w:iCs/>
          <w:sz w:val="24"/>
          <w:szCs w:val="24"/>
        </w:rPr>
        <w:t>et al.</w:t>
      </w:r>
      <w:r>
        <w:rPr>
          <w:rFonts w:ascii="Times New Roman" w:hAnsi="Times New Roman" w:cs="Times New Roman"/>
          <w:sz w:val="24"/>
          <w:szCs w:val="24"/>
        </w:rPr>
        <w:t xml:space="preserve"> 2025)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8FB6183" w14:textId="631BE93F" w:rsidR="00ED3D4B" w:rsidRDefault="00B1308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Ecological network approaches have been proposed as comprehensive strategies to guide restoration of ecological complexity </w:t>
      </w:r>
      <w:r>
        <w:fldChar w:fldCharType="begin"/>
      </w:r>
      <w:r w:rsidR="000C6146">
        <w:rPr>
          <w:rFonts w:ascii="Times New Roman" w:hAnsi="Times New Roman" w:cs="Times New Roman"/>
          <w:sz w:val="24"/>
          <w:szCs w:val="24"/>
        </w:rPr>
        <w:instrText xml:space="preserve"> ADDIN ZOTERO_ITEM CSL_CITATION {"citationID":"8szBONLG","properties":{"formattedCitation":"(Moreno-Mateos {\\i{}et al.} 2020; Wu {\\i{}et al.} 2025)","plainCitation":"(Moreno-Mateos et al. 2020; Wu et al. 2025)","noteIndex":0},"citationItems":[{"id":"YSu58Pgw/J1rSzzAD","uris":["http://zotero.org/users/11234172/items/VBFPIFXH"],"itemData":{"id":"yga6a78D/iww9CgGh","type":"article-journal","abstract":"Multiple large-scale restoration strategies are emerging globally to counteract ecosystem degradation and biodiversity loss. However, restoration often remains insufficient to offset that loss. To address this challenge, we propose to focus restoration science on the long-term (centuries to millennia) re-assembly of degraded ecosystem complexity integrating interaction network and evolutionary potential approaches. This approach provides insights into eco-evolutionary feedbacks determining the structure, functioning and stability of recovering ecosystems. Eco-evolutionary feedbacks may help to understand changes in the adaptive potential after disturbance of metacommunity hub species with core structural and functional roles for their use in restoration. Those changes can be studied combining a restoration genomics approach based on whole-genome sequencing with replicated space-for-time substitutions linking changes in genetic variation to functions or traits relevant to the establishment of evolutionarily resilient communities. This approach may set the knowledge basis for future tools to accelerate the restoration of ecosystems able to adapt to ongoing global changes.","container-title":"Nature Ecology &amp; Evolution","DOI":"10.1038/s41559-020-1154-1","ISSN":"2397-334X","issue":"5","journalAbbreviation":"Nat Ecol Evol","language":"en","license":"2020 Springer Nature Limited","note":"publisher: Nature Publishing Group","page":"676-685","source":"www.nature.com","title":"The long-term restoration of ecosystem complexity","volume":"4","author":[{"family":"Moreno-Mateos","given":"David"},{"family":"Alberdi","given":"Antton"},{"family":"Morriën","given":"Elly"},{"family":"Putten","given":"Wim H.","non-dropping-particle":"van der"},{"family":"Rodríguez-Uña","given":"Asun"},{"family":"Montoya","given":"Daniel"}],"issued":{"date-parts":[["2020",5]]},"citation-key":"moreno-mateos2020nee"}},{"id":5608,"uris":["http://zotero.org/users/11234172/items/LH6VPFQD"],"itemData":{"id":5608,"type":"article-journal","abstract":"The concept of ecological complexity transforms the way we conceptualise ecosystem entities, interactions, and processes. Restoring the complexity of ecosystems has been proposed as a principle for nature recovery activities. Yet, the use of the ‘complexity’ is inconsistent in different research, and lacks a generally accepted definition. This paper draws perspectives from various research fields to synthesise a cohesive concept of ecological complexity. We review a school of thought within the field of ecology, environment, and technical fields such as algorithmic complexity theory, information theory, chaos theory, and graph theory. We also summarise research methods framed by the complexity concept, and provide case studies on how restoration may benefit from the concept, philosophy, and methodology within the umbrella term. The complexity of an ecosystem includes the variety of species and the interactions among them or with environmental variables, with which the essential ecosystem functions, stability, and resilience are sustained. This concept indicates that species and ecological interactions are unified currencies of restoration. Meaningful assembly of species and interactions requires a deep understanding of each restoration project, and here we reflect on tree disease management, regenerative agriculture, species reintroduction, and seagrass systems. Complexity-framed research methods, ranging from systematic reviews to causal loop diagrams and individual-based models, help to integrate the best available information, understand how ecosystems operate, and examine alternative management policies.","container-title":"Total Environment Advances","DOI":"10.1016/j.teadva.2025.200125","ISSN":"2950-3957","journalAbbreviation":"Total Environment Advances","page":"200125","source":"ScienceDirect","title":"Exploring a unified definition of ecological complexity towards restoration","volume":"14","author":[{"family":"Wu","given":"Haoran"},{"family":"Soleiman","given":"Jed"},{"family":"Bolam","given":"Jamie"},{"family":"Boyle","given":"Joseph Scott"}],"issued":{"date-parts":[["2025",6,1]]}}}],"schema":"https://github.com/citation-style-language/schema/raw/master/csl-citation.json"}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(Moreno-Mateos </w:t>
      </w:r>
      <w:r>
        <w:rPr>
          <w:rFonts w:ascii="Times New Roman" w:hAnsi="Times New Roman" w:cs="Times New Roman"/>
          <w:i/>
          <w:iCs/>
          <w:sz w:val="24"/>
          <w:szCs w:val="24"/>
        </w:rPr>
        <w:t>et al.</w:t>
      </w:r>
      <w:r>
        <w:rPr>
          <w:rFonts w:ascii="Times New Roman" w:hAnsi="Times New Roman" w:cs="Times New Roman"/>
          <w:sz w:val="24"/>
          <w:szCs w:val="24"/>
        </w:rPr>
        <w:t xml:space="preserve"> 2020; Wu </w:t>
      </w:r>
      <w:r>
        <w:rPr>
          <w:rFonts w:ascii="Times New Roman" w:hAnsi="Times New Roman" w:cs="Times New Roman"/>
          <w:i/>
          <w:iCs/>
          <w:sz w:val="24"/>
          <w:szCs w:val="24"/>
        </w:rPr>
        <w:t>et al.</w:t>
      </w:r>
      <w:r>
        <w:rPr>
          <w:rFonts w:ascii="Times New Roman" w:hAnsi="Times New Roman" w:cs="Times New Roman"/>
          <w:sz w:val="24"/>
          <w:szCs w:val="24"/>
        </w:rPr>
        <w:t xml:space="preserve"> 2025)</w:t>
      </w:r>
      <w:r>
        <w:rPr>
          <w:rFonts w:ascii="Times New Roman" w:hAnsi="Times New Roman" w:cs="Times New Roman"/>
          <w:sz w:val="24"/>
          <w:szCs w:val="24"/>
        </w:rPr>
        <w:fldChar w:fldCharType="end"/>
      </w:r>
      <w:r>
        <w:rPr>
          <w:rFonts w:ascii="Times New Roman" w:hAnsi="Times New Roman" w:cs="Times New Roman"/>
          <w:sz w:val="24"/>
          <w:szCs w:val="24"/>
        </w:rPr>
        <w:t xml:space="preserve">. The topology of species interaction networks is linked to species persistence </w:t>
      </w:r>
      <w:r>
        <w:fldChar w:fldCharType="begin"/>
      </w:r>
      <w:r>
        <w:rPr>
          <w:rFonts w:ascii="Times New Roman" w:hAnsi="Times New Roman" w:cs="Times New Roman"/>
          <w:sz w:val="24"/>
          <w:szCs w:val="24"/>
        </w:rPr>
        <w:instrText>ADDIN ZOTERO_ITEM CSL_CITATION {"citationID":"Uwr7cvfd","properties":{"formattedCitation":"(Bhatia {\\i{}et al.} 2023)","plainCitation":"(Bhatia et al. 2023)","noteIndex":0},"citationItems":[{"id":5021,"uris":["http://zotero.org/users/11234172/items/6HV5PG3E"],"itemData":{"id":5021,"type":"article-journal","abstract":"Redressing global patterns of biodiversity loss requires quantitative frameworks that can predict ecosystem collapse and inform restoration strategies. By applying a network-based dynamical approach to synthetic and real-world mutualistic ecosystems, we show that biodiversity recovery following collapse is maximized when extirpated species are reintroduced based solely on their total number of connections in the original interaction network. More complex network-based strategies that prioritize the reintroduction of species that improve ‘higher order’ topological features such as compartmentalization do not provide meaningful performance improvements. These results suggest that it is possible to design nearly optimal restoration strategies that maximize biodiversity recovery for data-poor ecosystems in order to ensure the delivery of critical natural services that fuel economic development, food security, and human health around the globe.","container-title":"Communications Biology","DOI":"10.1038/s42003-023-05622-3","ISSN":"2399-3642","issue":"1","journalAbbreviation":"Commun Biol","language":"en","license":"2023 The Author(s)","note":"publisher: Nature Publishing Group","page":"1-10","source":"www.nature.com","title":"Network-based restoration strategies maximize ecosystem recovery","volume":"6","author":[{"family":"Bhatia","given":"Udit"},{"family":"Dubey","given":"Sarth"},{"family":"Gouhier","given":"Tarik C."},{"family":"Ganguly","given":"Auroop R."}],"issued":{"date-parts":[["2023",12,12]]}}}],"schema":"https://github.com/citation-style-language/schema/raw/master/csl-citation.json"}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(Bhatia </w:t>
      </w:r>
      <w:r>
        <w:rPr>
          <w:rFonts w:ascii="Times New Roman" w:hAnsi="Times New Roman" w:cs="Times New Roman"/>
          <w:i/>
          <w:iCs/>
          <w:sz w:val="24"/>
          <w:szCs w:val="24"/>
        </w:rPr>
        <w:t>et al.</w:t>
      </w:r>
      <w:r>
        <w:rPr>
          <w:rFonts w:ascii="Times New Roman" w:hAnsi="Times New Roman" w:cs="Times New Roman"/>
          <w:sz w:val="24"/>
          <w:szCs w:val="24"/>
        </w:rPr>
        <w:t xml:space="preserve">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kern w:val="0"/>
          <w:sz w:val="24"/>
          <w:szCs w:val="24"/>
        </w:rPr>
        <w:t>and</w:t>
      </w:r>
      <w:r w:rsidR="00CA28B7">
        <w:rPr>
          <w:rFonts w:ascii="Times New Roman" w:hAnsi="Times New Roman" w:cs="Times New Roman"/>
          <w:sz w:val="24"/>
          <w:szCs w:val="24"/>
        </w:rPr>
        <w:t xml:space="preserve"> </w:t>
      </w:r>
      <w:r>
        <w:rPr>
          <w:rFonts w:ascii="Times New Roman" w:hAnsi="Times New Roman" w:cs="Times New Roman"/>
          <w:sz w:val="24"/>
          <w:szCs w:val="24"/>
        </w:rPr>
        <w:t>ecological functions</w:t>
      </w:r>
      <w:r w:rsidR="00CA28B7">
        <w:rPr>
          <w:rFonts w:ascii="Times New Roman" w:hAnsi="Times New Roman" w:cs="Times New Roman"/>
          <w:sz w:val="24"/>
          <w:szCs w:val="24"/>
        </w:rPr>
        <w:t>, e.g.</w:t>
      </w:r>
      <w:r>
        <w:rPr>
          <w:rFonts w:ascii="Times New Roman" w:hAnsi="Times New Roman" w:cs="Times New Roman"/>
          <w:sz w:val="24"/>
          <w:szCs w:val="24"/>
        </w:rPr>
        <w:t xml:space="preserve"> pollination efficacy </w:t>
      </w:r>
      <w:r>
        <w:fldChar w:fldCharType="begin"/>
      </w:r>
      <w:r>
        <w:rPr>
          <w:rFonts w:ascii="Times New Roman" w:hAnsi="Times New Roman" w:cs="Times New Roman"/>
          <w:sz w:val="24"/>
          <w:szCs w:val="24"/>
        </w:rPr>
        <w:instrText>ADDIN ZOTERO_ITEM CSL_CITATION {"citationID":"NgnqZjj9","properties":{"formattedCitation":"(Kaiser-Bunbury {\\i{}et al.} 2017)","plainCitation":"(Kaiser-Bunbury et al. 2017)","noteIndex":0},"citationItems":[{"id":5001,"uris":["http://zotero.org/users/11234172/items/L2CYVD6A"],"itemData":{"id":5001,"type":"article-journal","abstract":"Removal of invasive exotic shrubs from mountaintop communities increased the number of pollinators and positively altered pollinator behaviour, which enhanced native fruit production, indicating that the degradation of ecosystem functions is partly reversible.","container-title":"Nature","DOI":"10.1038/nature21071","ISSN":"1476-4687","issue":"7640","language":"en","license":"2017 Macmillan Publishers Limited, part of Springer Nature. All rights reserved.","note":"publisher: Nature Publishing Group","page":"223-227","source":"www.nature.com","title":"Ecosystem restoration strengthens pollination network resilience and function","volume":"542","author":[{"family":"Kaiser-Bunbury","given":"Christopher N."},{"family":"Mougal","given":"James"},{"family":"Whittington","given":"Andrew E."},{"family":"Valentin","given":"Terence"},{"family":"Gabriel","given":"Ronny"},{"family":"Olesen","given":"Jens M."},{"family":"Blüthgen","given":"Nico"}],"issued":{"date-parts":[["2017",2]]}}}],"schema":"https://github.com/citation-style-language/schema/raw/master/csl-citation.json"}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(Kaiser-Bunbury </w:t>
      </w:r>
      <w:r>
        <w:rPr>
          <w:rFonts w:ascii="Times New Roman" w:hAnsi="Times New Roman" w:cs="Times New Roman"/>
          <w:i/>
          <w:iCs/>
          <w:sz w:val="24"/>
          <w:szCs w:val="24"/>
        </w:rPr>
        <w:t>et al.</w:t>
      </w:r>
      <w:r>
        <w:rPr>
          <w:rFonts w:ascii="Times New Roman" w:hAnsi="Times New Roman" w:cs="Times New Roman"/>
          <w:sz w:val="24"/>
          <w:szCs w:val="24"/>
        </w:rPr>
        <w:t xml:space="preserve"> 2017)</w:t>
      </w:r>
      <w:r>
        <w:rPr>
          <w:rFonts w:ascii="Times New Roman" w:hAnsi="Times New Roman" w:cs="Times New Roman"/>
          <w:sz w:val="24"/>
          <w:szCs w:val="24"/>
        </w:rPr>
        <w:fldChar w:fldCharType="end"/>
      </w:r>
      <w:r>
        <w:rPr>
          <w:rFonts w:ascii="Times New Roman" w:hAnsi="Times New Roman" w:cs="Times New Roman"/>
          <w:sz w:val="24"/>
          <w:szCs w:val="24"/>
        </w:rPr>
        <w:t xml:space="preserve">. Network topology can also be used to identify key species and interactions at the early stages of the restoration process </w:t>
      </w:r>
      <w:r>
        <w:fldChar w:fldCharType="begin"/>
      </w:r>
      <w:r>
        <w:rPr>
          <w:rFonts w:ascii="Times New Roman" w:hAnsi="Times New Roman" w:cs="Times New Roman"/>
          <w:sz w:val="24"/>
          <w:szCs w:val="24"/>
        </w:rPr>
        <w:instrText>ADDIN ZOTERO_ITEM CSL_CITATION {"citationID":"vfkSK79y","properties":{"formattedCitation":"(Borges {\\i{}et al.} 2025)","plainCitation":"(Borges et al. 2025)","noteIndex":0},"citationItems":[{"id":5652,"uris":["http://zotero.org/users/11234172/items/XJLDTZU6"],"itemData":{"id":5652,"type":"article-journal","abstract":"There is still a lack of practical guidelines for understanding species roles and planning restoration strategies to enhance plant–pollinator interactions and support ecosystem functioning. We applied a network approach to understand the evolution of plant–pollinator restoration patterns and identify priority species, thus advancing restoration planning. Specifically, we compared species composition and network metrics along a gradient of time postdisturbance, from the initial stage of restoration to pristine forest in the Eastern Amazon. We found that mining type is a predictor of species composition. We observed the recovery of interaction diversity and pollinator specialization in the early stages of restoration. Mining type affected connectance, interactions, and species richness, and the restoration stage affected the number of links. From the interactions, we built a trait-based framework to select manageable native species for initial restoration. The species selection framework proposed here is useful not only for forest restoration but also for the restoration of other areas and case studies (e.g. agroecosystems, conservation units, and ecological corridors) and can be adapted depending on the goals of each project. Here, we provide practical information for the management of mined land restoration in the Eastern Amazon and for restoration planning across broader scales.","container-title":"Restoration Ecology","DOI":"10.1111/rec.14334","ISSN":"1526-100X","issue":"3","language":"en","license":"© 2024 Society for Ecological Restoration.","note":"_eprint: https://onlinelibrary.wiley.com/doi/pdf/10.1111/rec.14334","page":"e14334","source":"Wiley Online Library","title":"Using plant–pollinator interactions to identify key species for planning tropical forest restoration","volume":"33","author":[{"family":"Borges","given":"Rafael C."},{"family":"Cunha","given":"Erlane J."},{"family":"Santos Júnior","given":"José E.","non-dropping-particle":"dos"},{"family":"Silveira","given":"Orlando T."},{"family":"Oliveira Andrino","given":"Caroline","non-dropping-particle":"de"},{"family":"Caldeira Jr","given":"Cecílio F."},{"family":"Silva","given":"Delmo F."},{"family":"Tyski","given":"Lourival"},{"family":"Giannini","given":"Tereza C."}],"issued":{"date-parts":[["2025"]]}}}],"schema":"https://github.com/citation-style-language/schema/raw/master/csl-citation.json"}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(Borges </w:t>
      </w:r>
      <w:r>
        <w:rPr>
          <w:rFonts w:ascii="Times New Roman" w:hAnsi="Times New Roman" w:cs="Times New Roman"/>
          <w:i/>
          <w:iCs/>
          <w:sz w:val="24"/>
          <w:szCs w:val="24"/>
        </w:rPr>
        <w:t>et al.</w:t>
      </w:r>
      <w:r>
        <w:rPr>
          <w:rFonts w:ascii="Times New Roman" w:hAnsi="Times New Roman" w:cs="Times New Roman"/>
          <w:sz w:val="24"/>
          <w:szCs w:val="24"/>
        </w:rPr>
        <w:t xml:space="preserve"> 2025)</w:t>
      </w:r>
      <w:r>
        <w:rPr>
          <w:rFonts w:ascii="Times New Roman" w:hAnsi="Times New Roman" w:cs="Times New Roman"/>
          <w:sz w:val="24"/>
          <w:szCs w:val="24"/>
        </w:rPr>
        <w:fldChar w:fldCharType="end"/>
      </w:r>
      <w:r>
        <w:rPr>
          <w:rFonts w:ascii="Times New Roman" w:hAnsi="Times New Roman" w:cs="Times New Roman"/>
          <w:sz w:val="24"/>
          <w:szCs w:val="24"/>
        </w:rPr>
        <w:t xml:space="preserve">. However, network-based approaches have been less explored at landscape or regional scales, limiting our ability to capture the broader dynamics of species interactions that emerge at the metacommunity level </w:t>
      </w:r>
      <w:r>
        <w:fldChar w:fldCharType="begin"/>
      </w:r>
      <w:r>
        <w:rPr>
          <w:rFonts w:ascii="Times New Roman" w:hAnsi="Times New Roman" w:cs="Times New Roman"/>
          <w:sz w:val="24"/>
          <w:szCs w:val="24"/>
        </w:rPr>
        <w:instrText>ADDIN ZOTERO_ITEM CSL_CITATION {"citationID":"u6y6sLeU","properties":{"formattedCitation":"(Emer {\\i{}et al.} 2018; Libr\\uc0\\u225{}n-Embid {\\i{}et al.} 2021)","plainCitation":"(Emer et al. 2018; Librán-Embid et al. 2021)","noteIndex":0},"citationItems":[{"id":2289,"uris":["http://zotero.org/users/11234172/items/Z93SVR46"],"itemData":{"id":2289,"type":"article-journal","abstract":"Mutualistic interactions repeatedly preserved across fragmented landscapes can scale-up to form a spatial metanetwork describing the distribution of interactions across patches. We explored the structure of a bird seed-dispersal (BSD) metanetwork in 16 Neotropical forest fragments to test whether a distinct subset of BSD-interactions may mediate landscape functional connectivity. The metanetwork is interaction-rich, modular and poorly connected, showing high beta-diversity and turnover of species and interactions. Interactions involving large-sized species were lost in fragments &lt; 10 000 ha, indicating a strong filtering by habitat fragmentation on the functional diversity of BSD-interactions. Persistent interactions were performed by small-seeded, fast growing plant species and by generalist, small-bodied bird species able to cross the fragmented landscape. This reduced subset of interactions forms the metanetwork components persisting to defaunation and fragmentation, and may generate long-term deficits of carbon storage while delaying forest regeneration at the landscape level.","container-title":"Ecology Letters","DOI":"10.1111/ele.12909","ISSN":"1461-0248","issue":"4","language":"en","license":"© 2018 John Wiley &amp; Sons Ltd/CNRS","note":"_eprint: https://onlinelibrary.wiley.com/doi/pdf/10.1111/ele.12909","page":"484-493","source":"Wiley Online Library","title":"Seed-dispersal interactions in fragmented landscapes – a metanetwork approach","volume":"21","author":[{"family":"Emer","given":"Carine"},{"family":"Galetti","given":"Mauro"},{"family":"Pizo","given":"Marco A."},{"family":"Guimarães Jr.","given":"Paulo R."},{"family":"Moraes","given":"Suelen"},{"family":"Piratelli","given":"Augusto"},{"family":"Jordano","given":"Pedro"}],"issued":{"date-parts":[["2018"]]}}},{"id":2293,"uris":["http://zotero.org/users/11234172/items/Q3QJE3PI"],"itemData":{"id":2293,"type":"article-journal","abstract":"To understand how plant–pollinator interactions respond to habitat fragmentation, we need novel approaches that can capture properties that emerge at broad scales, where multiple communities engage in metanetworks. Here we studied plant–pollinator interactions over 2 years on 29 calcareous grassland fragments selected along independent gradients of habitat size and surrounding landscape diversity of cover types. We associated network centrality of plant–pollinator interactions and grassland fragments with their ecological and landscape traits, respectively. Interactions involving habitat specialist plants and large-bodied pollinators were the most central, implying that species with these traits form the metanetwork core. Large fragments embedded in landscapes with high land cover diversity exhibited the highest centrality; however, small fragments harboured many unique interactions not found on larger fragments. Intensively managed landscapes have reached a point in which all remaining fragments matter, meaning that losing any further areas may vanish unique interactions with unknown consequences for ecosystem functioning.","container-title":"Ecology Letters","DOI":"10.1111/ele.13892","ISSN":"1461-0248","issue":"12","language":"en","license":"© 2021 The Authors. Ecology Letters published by John Wiley &amp; Sons Ltd.","note":"_eprint: https://onlinelibrary.wiley.com/doi/pdf/10.1111/ele.13892","page":"2700-2712","source":"Wiley Online Library","title":"A plant–pollinator metanetwork along a habitat fragmentation gradient","volume":"24","author":[{"family":"Librán-Embid","given":"Felipe"},{"family":"Grass","given":"Ingo"},{"family":"Emer","given":"Carine"},{"family":"Ganuza","given":"Cristina"},{"family":"Tscharntke","given":"Teja"}],"issued":{"date-parts":[["2021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(Emer </w:t>
      </w:r>
      <w:r>
        <w:rPr>
          <w:rFonts w:ascii="Times New Roman" w:hAnsi="Times New Roman" w:cs="Times New Roman"/>
          <w:i/>
          <w:iCs/>
          <w:sz w:val="24"/>
          <w:szCs w:val="24"/>
        </w:rPr>
        <w:t>et al.</w:t>
      </w:r>
      <w:r>
        <w:rPr>
          <w:rFonts w:ascii="Times New Roman" w:hAnsi="Times New Roman" w:cs="Times New Roman"/>
          <w:sz w:val="24"/>
          <w:szCs w:val="24"/>
        </w:rPr>
        <w:t xml:space="preserve"> 2018; Librán-Embid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ED8B163" w14:textId="1505A5AB"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Multilayered networks, in particular, can facilitate the analysis of metacommunities for restoration </w:t>
      </w:r>
      <w:r>
        <w:fldChar w:fldCharType="begin"/>
      </w:r>
      <w:r w:rsidR="000C6146">
        <w:rPr>
          <w:rFonts w:ascii="Times New Roman" w:hAnsi="Times New Roman" w:cs="Times New Roman"/>
          <w:sz w:val="24"/>
          <w:szCs w:val="24"/>
        </w:rPr>
        <w:instrText xml:space="preserve"> ADDIN ZOTERO_ITEM CSL_CITATION {"citationID":"agMvk5ew","properties":{"formattedCitation":"(Moracho {\\i{}et al.} 2025; Pilosof {\\i{}et al.} 2017)","plainCitation":"(Moracho et al. 2025; Pilosof et al. 2017)","noteIndex":0},"citationItems":[{"id":5885,"uris":["http://zotero.org/users/11234172/items/88ZLLPW9"],"itemData":{"id":5885,"type":"article-journal","abstract":"Species interactions are fundamental to biodiversity maintenance and ecosystem functioning, yet their restoration remains a complex and evolving challenge. While integration of interaction networks into restoration ecology is gaining momentum, practical frameworks to address this complexity at scale are still needed. We present a multi-scale, interaction-based framework to support restoration of ecological networks and associated functions amid urgent biodiversity and ecosystem crises. Building on meta-networks as a foundation, the framework addresses three core dimensions: (1) Where to restore—by identifying spatial priorities through projected network attributes under current or future conditions; (2) What to restore—by assessing the potential for ecosystem function and resilience through trait and network attributes; and (3) How to restore—by selecting species based on their topological and functional roles within interaction networks. The proposed approach builds on the importance of bridging scales ––from upscaling sparse interaction data to regional contexts, to refining site-specific priorities. We highlight key considerations for integrating interactions into restoration planning, including interaction and functional homogenization risk and the expected cascading effects from interconnected networks, which must be accounted for to avoid unintended trade-offs. This framework advances restoration science by aligning ecological theory, data, and tools to support the recovery of diverse, resilient ecosystems and the services they provide to people.","container-title":"Biological Conservation","DOI":"10.1016/j.biocon.2025.111477","ISSN":"0006-3207","journalAbbreviation":"Biological Conservation","page":"111477","source":"ScienceDirect","title":"Rebuilding ecological networks: A multi-scale approach to global restoration","title-short":"Rebuilding ecological networks","volume":"312","author":[{"family":"Moracho","given":"Eva"},{"family":"Normand","given":"Signe"},{"family":"Ordonez","given":"Alejandro"}],"issued":{"date-parts":[["2025",12,1]]}}},{"id":2905,"uris":["http://zotero.org/users/11234172/items/EQ868RH8"],"itemData":{"id":2905,"type":"article-journal","abstract":"Although networks provide a powerful approach to study a large variety of ecological systems, their formulation does not typically account for multiple interaction types, interactions that vary in space and time, and interconnected systems such as networks of networks. The emergent field of ‘multilayer networks’ provides a natural framework for extending analyses of ecological systems to include such multiple layers of complexity, as it specifically allows one to differentiate and model ‘intralayer’ and ‘interlayer’ connectivity. The framework provides a set of concepts and tools that can be adapted and applied to ecology, facilitating research on high-dimensional, heterogeneous systems in nature. Here, we formally define ecological multilayer networks based on a review of previous, related approaches; illustrate their application and potential with analyses of existing data; and discuss limitations, challenges, and future applications. The integration of multilayer network theory into ecology offers largely untapped potential to investigate ecological complexity and provide new theoretical and empirical insights into the architecture and dynamics of ecological systems.","container-title":"Nature Ecology &amp; Evolution","DOI":"10.1038/s41559-017-0101","ISSN":"2397-334X","issue":"4","journalAbbreviation":"Nat Ecol Evol","language":"en","license":"2017 Macmillan Publishers Limited","note":"number: 4\npublisher: Nature Publishing Group","page":"1-9","source":"www.nature.com","title":"The multilayer nature of ecological networks","volume":"1","author":[{"family":"Pilosof","given":"Shai"},{"family":"Porter","given":"Mason A."},{"family":"Pascual","given":"Mercedes"},{"family":"Kéfi","given":"Sonia"}],"issued":{"date-parts":[["2017",3,23]]}}}],"schema":"https://github.com/citation-style-language/schema/raw/master/csl-citation.json"} </w:instrText>
      </w:r>
      <w:r>
        <w:rPr>
          <w:rFonts w:ascii="Times New Roman" w:hAnsi="Times New Roman" w:cs="Times New Roman"/>
          <w:sz w:val="24"/>
          <w:szCs w:val="24"/>
        </w:rPr>
        <w:fldChar w:fldCharType="separate"/>
      </w:r>
      <w:r w:rsidR="000C6146" w:rsidRPr="000C6146">
        <w:rPr>
          <w:rFonts w:ascii="Times New Roman" w:hAnsi="Times New Roman" w:cs="Times New Roman"/>
          <w:sz w:val="24"/>
          <w:szCs w:val="24"/>
        </w:rPr>
        <w:t xml:space="preserve">(Moracho </w:t>
      </w:r>
      <w:r w:rsidR="000C6146" w:rsidRPr="000C6146">
        <w:rPr>
          <w:rFonts w:ascii="Times New Roman" w:hAnsi="Times New Roman" w:cs="Times New Roman"/>
          <w:i/>
          <w:iCs/>
          <w:sz w:val="24"/>
          <w:szCs w:val="24"/>
        </w:rPr>
        <w:t>et al.</w:t>
      </w:r>
      <w:r w:rsidR="000C6146" w:rsidRPr="000C6146">
        <w:rPr>
          <w:rFonts w:ascii="Times New Roman" w:hAnsi="Times New Roman" w:cs="Times New Roman"/>
          <w:sz w:val="24"/>
          <w:szCs w:val="24"/>
        </w:rPr>
        <w:t xml:space="preserve"> 2025; Pilosof </w:t>
      </w:r>
      <w:r w:rsidR="000C6146" w:rsidRPr="000C6146">
        <w:rPr>
          <w:rFonts w:ascii="Times New Roman" w:hAnsi="Times New Roman" w:cs="Times New Roman"/>
          <w:i/>
          <w:iCs/>
          <w:sz w:val="24"/>
          <w:szCs w:val="24"/>
        </w:rPr>
        <w:t>et al.</w:t>
      </w:r>
      <w:r w:rsidR="000C6146" w:rsidRPr="000C6146">
        <w:rPr>
          <w:rFonts w:ascii="Times New Roman" w:hAnsi="Times New Roman" w:cs="Times New Roman"/>
          <w:sz w:val="24"/>
          <w:szCs w:val="24"/>
        </w:rPr>
        <w:t xml:space="preserve"> 2017)</w:t>
      </w:r>
      <w:r>
        <w:rPr>
          <w:rFonts w:ascii="Times New Roman" w:hAnsi="Times New Roman" w:cs="Times New Roman"/>
          <w:sz w:val="24"/>
          <w:szCs w:val="24"/>
        </w:rPr>
        <w:fldChar w:fldCharType="end"/>
      </w:r>
      <w:r>
        <w:rPr>
          <w:rFonts w:ascii="Times New Roman" w:hAnsi="Times New Roman" w:cs="Times New Roman"/>
          <w:sz w:val="24"/>
          <w:szCs w:val="24"/>
        </w:rPr>
        <w:t xml:space="preserve">. In multilayered networks, nodes are organized into layers and links can be established within and between layers, allowing, for example, the analysis of interactions that vary across space </w:t>
      </w:r>
      <w:r>
        <w:fldChar w:fldCharType="begin"/>
      </w:r>
      <w:r>
        <w:rPr>
          <w:rFonts w:ascii="Times New Roman" w:hAnsi="Times New Roman" w:cs="Times New Roman"/>
          <w:sz w:val="24"/>
          <w:szCs w:val="24"/>
        </w:rPr>
        <w:instrText>ADDIN ZOTERO_ITEM CSL_CITATION {"citationID":"LB9NIDNP","properties":{"formattedCitation":"(Pilosof {\\i{}et al.} 2017)","plainCitation":"(Pilosof et al. 2017)","noteIndex":0},"citationItems":[{"id":2905,"uris":["http://zotero.org/users/11234172/items/EQ868RH8"],"itemData":{"id":2905,"type":"article-journal","abstract":"Although networks provide a powerful approach to study a large variety of ecological systems, their formulation does not typically account for multiple interaction types, interactions that vary in space and time, and interconnected systems such as networks of networks. The emergent field of ‘multilayer networks’ provides a natural framework for extending analyses of ecological systems to include such multiple layers of complexity, as it specifically allows one to differentiate and model ‘intralayer’ and ‘interlayer’ connectivity. The framework provides a set of concepts and tools that can be adapted and applied to ecology, facilitating research on high-dimensional, heterogeneous systems in nature. Here, we formally define ecological multilayer networks based on a review of previous, related approaches; illustrate their application and potential with analyses of existing data; and discuss limitations, challenges, and future applications. The integration of multilayer network theory into ecology offers largely untapped potential to investigate ecological complexity and provide new theoretical and empirical insights into the architecture and dynamics of ecological systems.","container-title":"Nature Ecology &amp; Evolution","DOI":"10.1038/s41559-017-0101","ISSN":"2397-334X","issue":"4","journalAbbreviation":"Nat Ecol Evol","language":"en","license":"2017 Macmillan Publishers Limited","note":"number: 4\npublisher: Nature Publishing Group","page":"1-9","source":"www.nature.com","title":"The multilayer nature of ecological networks","volume":"1","author":[{"family":"Pilosof","given":"Shai"},{"family":"Porter","given":"Mason A."},{"family":"Pascual","given":"Mercedes"},{"family":"Kéfi","given":"Sonia"}],"issued":{"date-parts":[["2017",3,23]]}}}],"schema":"https://github.com/citation-style-language/schema/raw/master/csl-citation.json"}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(Pilosof </w:t>
      </w:r>
      <w:r>
        <w:rPr>
          <w:rFonts w:ascii="Times New Roman" w:hAnsi="Times New Roman" w:cs="Times New Roman"/>
          <w:i/>
          <w:iCs/>
          <w:sz w:val="24"/>
          <w:szCs w:val="24"/>
        </w:rPr>
        <w:t>et al.</w:t>
      </w:r>
      <w:r>
        <w:rPr>
          <w:rFonts w:ascii="Times New Roman" w:hAnsi="Times New Roman" w:cs="Times New Roman"/>
          <w:sz w:val="24"/>
          <w:szCs w:val="24"/>
        </w:rPr>
        <w:t xml:space="preserve"> 2017)</w:t>
      </w:r>
      <w:r>
        <w:rPr>
          <w:rFonts w:ascii="Times New Roman" w:hAnsi="Times New Roman" w:cs="Times New Roman"/>
          <w:sz w:val="24"/>
          <w:szCs w:val="24"/>
        </w:rPr>
        <w:fldChar w:fldCharType="end"/>
      </w:r>
      <w:r>
        <w:rPr>
          <w:rFonts w:ascii="Times New Roman" w:hAnsi="Times New Roman" w:cs="Times New Roman"/>
          <w:sz w:val="24"/>
          <w:szCs w:val="24"/>
        </w:rPr>
        <w:t xml:space="preserve">. For instance, meta-networks (a type of multilayered networks) can assess the cohesiveness of the metacommunity at broader scales by studying the interactions shared across patches </w:t>
      </w:r>
      <w:r>
        <w:fldChar w:fldCharType="begin"/>
      </w:r>
      <w:r>
        <w:rPr>
          <w:rFonts w:ascii="Times New Roman" w:hAnsi="Times New Roman" w:cs="Times New Roman"/>
          <w:sz w:val="24"/>
          <w:szCs w:val="24"/>
        </w:rPr>
        <w:instrText>ADDIN ZOTERO_ITEM CSL_CITATION {"citationID":"kieKSiP2","properties":{"formattedCitation":"(Emer {\\i{}et al.} 2018)","plainCitation":"(Emer et al. 2018)","dontUpdate":true,"noteIndex":0},"citationItems":[{"id":2289,"uris":["http://zotero.org/users/11234172/items/Z93SVR46"],"itemData":{"id":2289,"type":"article-journal","abstract":"Mutualistic interactions repeatedly preserved across fragmented landscapes can scale-up to form a spatial metanetwork describing the distribution of interactions across patches. We explored the structure of a bird seed-dispersal (BSD) metanetwork in 16 Neotropical forest fragments to test whether a distinct subset of BSD-interactions may mediate landscape functional connectivity. The metanetwork is interaction-rich, modular and poorly connected, showing high beta-diversity and turnover of species and interactions. Interactions involving large-sized species were lost in fragments &lt; 10 000 ha, indicating a strong filtering by habitat fragmentation on the functional diversity of BSD-interactions. Persistent interactions were performed by small-seeded, fast growing plant species and by generalist, small-bodied bird species able to cross the fragmented landscape. This reduced subset of interactions forms the metanetwork components persisting to defaunation and fragmentation, and may generate long-term deficits of carbon storage while delaying forest regeneration at the landscape level.","container-title":"Ecology Letters","DOI":"10.1111/ele.12909","ISSN":"1461-0248","issue":"4","language":"en","license":"© 2018 John Wiley &amp; Sons Ltd/CNRS","note":"_eprint: https://onlinelibrary.wiley.com/doi/pdf/10.1111/ele.12909","page":"484-493","source":"Wiley Online Library","title":"Seed-dispersal interactions in fragmented landscapes – a metanetwork approach","volume":"21","author":[{"family":"Emer","given":"Carine"},{"family":"Galetti","given":"Mauro"},{"family":"Pizo","given":"Marco A."},{"family":"Guimarães Jr.","given":"Paulo R."},{"family":"Moraes","given":"Suelen"},{"family":"Piratelli","given":"Augusto"},{"family":"Jordano","given":"Pedro"}],"issued":{"date-parts":[["2018"]]}}}],"schema":"https://github.com/citation-style-language/schema/raw/master/csl-citation.json"}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kern w:val="0"/>
          <w:sz w:val="24"/>
          <w:szCs w:val="24"/>
        </w:rPr>
        <w:t xml:space="preserve">(Emer </w:t>
      </w:r>
      <w:r>
        <w:rPr>
          <w:rFonts w:ascii="Times New Roman" w:hAnsi="Times New Roman" w:cs="Times New Roman"/>
          <w:i/>
          <w:iCs/>
          <w:kern w:val="0"/>
          <w:sz w:val="24"/>
          <w:szCs w:val="24"/>
        </w:rPr>
        <w:t>et al.</w:t>
      </w:r>
      <w:r>
        <w:rPr>
          <w:rFonts w:ascii="Times New Roman" w:hAnsi="Times New Roman" w:cs="Times New Roman"/>
          <w:kern w:val="0"/>
          <w:sz w:val="24"/>
          <w:szCs w:val="24"/>
        </w:rPr>
        <w:t xml:space="preserve"> 2018; Libran-Embid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These shared interactions, i.e. the same interaction occurring among patches, reflect the same ecological function occurring redundantly across space </w:t>
      </w:r>
      <w:r>
        <w:fldChar w:fldCharType="begin"/>
      </w:r>
      <w:r>
        <w:rPr>
          <w:rFonts w:ascii="Times New Roman" w:hAnsi="Times New Roman" w:cs="Times New Roman"/>
          <w:sz w:val="24"/>
          <w:szCs w:val="24"/>
        </w:rPr>
        <w:instrText>ADDIN ZOTERO_ITEM CSL_CITATION {"citationID":"aqIyF9Zm","properties":{"formattedCitation":"(Emer {\\i{}et al.} 2018)","plainCitation":"(Emer et al. 2018)","noteIndex":0},"citationItems":[{"id":2289,"uris":["http://zotero.org/users/11234172/items/Z93SVR46"],"itemData":{"id":2289,"type":"article-journal","abstract":"Mutualistic interactions repeatedly preserved across fragmented landscapes can scale-up to form a spatial metanetwork describing the distribution of interactions across patches. We explored the structure of a bird seed-dispersal (BSD) metanetwork in 16 Neotropical forest fragments to test whether a distinct subset of BSD-interactions may mediate landscape functional connectivity. The metanetwork is interaction-rich, modular and poorly connected, showing high beta-diversity and turnover of species and interactions. Interactions involving large-sized species were lost in fragments &lt; 10 000 ha, indicating a strong filtering by habitat fragmentation on the functional diversity of BSD-interactions. Persistent interactions were performed by small-seeded, fast growing plant species and by generalist, small-bodied bird species able to cross the fragmented landscape. This reduced subset of interactions forms the metanetwork components persisting to defaunation and fragmentation, and may generate long-term deficits of carbon storage while delaying forest regeneration at the landscape level.","container-title":"Ecology Letters","DOI":"10.1111/ele.12909","ISSN":"1461-0248","issue":"4","language":"en","license":"© 2018 John Wiley &amp; Sons Ltd/CNRS","note":"_eprint: https://onlinelibrary.wiley.com/doi/pdf/10.1111/ele.12909","page":"484-493","source":"Wiley Online Library","title":"Seed-dispersal interactions in fragmented landscapes – a metanetwork approach","volume":"21","author":[{"family":"Emer","given":"Carine"},{"family":"Galetti","given":"Mauro"},{"family":"Pizo","given":"Marco A."},{"family":"Guimarães Jr.","given":"Paulo R."},{"family":"Moraes","given":"Suelen"},{"family":"Piratelli","given":"Augusto"},{"family":"Jordano","given":"Pedro"}],"issued":{"date-parts":[["2018"]]}}}],"schema":"https://github.com/citation-style-language/schema/raw/master/csl-citation.json"}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(Emer </w:t>
      </w:r>
      <w:r>
        <w:rPr>
          <w:rFonts w:ascii="Times New Roman" w:hAnsi="Times New Roman" w:cs="Times New Roman"/>
          <w:i/>
          <w:iCs/>
          <w:sz w:val="24"/>
          <w:szCs w:val="24"/>
        </w:rPr>
        <w:t>et al.</w:t>
      </w:r>
      <w:r>
        <w:rPr>
          <w:rFonts w:ascii="Times New Roman" w:hAnsi="Times New Roman" w:cs="Times New Roman"/>
          <w:sz w:val="24"/>
          <w:szCs w:val="24"/>
        </w:rPr>
        <w:t xml:space="preserve"> 2018)</w:t>
      </w:r>
      <w:r>
        <w:rPr>
          <w:rFonts w:ascii="Times New Roman" w:hAnsi="Times New Roman" w:cs="Times New Roman"/>
          <w:sz w:val="24"/>
          <w:szCs w:val="24"/>
        </w:rPr>
        <w:fldChar w:fldCharType="end"/>
      </w:r>
      <w:r>
        <w:rPr>
          <w:rFonts w:ascii="Times New Roman" w:hAnsi="Times New Roman" w:cs="Times New Roman"/>
          <w:sz w:val="24"/>
          <w:szCs w:val="24"/>
        </w:rPr>
        <w:t xml:space="preserve">. A detailed understanding of meta-network structure along environmental gradients could provide key </w:t>
      </w:r>
      <w:r>
        <w:rPr>
          <w:rFonts w:ascii="Times New Roman" w:hAnsi="Times New Roman" w:cs="Times New Roman"/>
          <w:sz w:val="24"/>
          <w:szCs w:val="24"/>
        </w:rPr>
        <w:lastRenderedPageBreak/>
        <w:t xml:space="preserve">ecological insights for restoration prioritization (see Box 1 for details). For instance, by identifying the characteristics driving the influence of specific patches and their associated interactions on metacommunity cohesion, it becomes possible to strategically plan restoration efforts to enhance ecosystem functioning and cohesion at broader spatial scales. However, existing meta-network analyses have focused primarily on degree centrality and other topological metrics require further exploration </w:t>
      </w:r>
      <w:r>
        <w:fldChar w:fldCharType="begin"/>
      </w:r>
      <w:r w:rsidR="000C6146">
        <w:rPr>
          <w:rFonts w:ascii="Times New Roman" w:hAnsi="Times New Roman" w:cs="Times New Roman"/>
          <w:sz w:val="24"/>
          <w:szCs w:val="24"/>
        </w:rPr>
        <w:instrText xml:space="preserve"> ADDIN ZOTERO_ITEM CSL_CITATION {"citationID":"mI5wpzPy","properties":{"formattedCitation":"(Emer {\\i{}et al.} 2018)","plainCitation":"(Emer et al. 2018)","dontUpdate":true,"noteIndex":0},"citationItems":[{"id":2289,"uris":["http://zotero.org/users/11234172/items/Z93SVR46"],"itemData":{"id":2289,"type":"article-journal","abstract":"Mutualistic interactions repeatedly preserved across fragmented landscapes can scale-up to form a spatial metanetwork describing the distribution of interactions across patches. We explored the structure of a bird seed-dispersal (BSD) metanetwork in 16 Neotropical forest fragments to test whether a distinct subset of BSD-interactions may mediate landscape functional connectivity. The metanetwork is interaction-rich, modular and poorly connected, showing high beta-diversity and turnover of species and interactions. Interactions involving large-sized species were lost in fragments &lt; 10 000 ha, indicating a strong filtering by habitat fragmentation on the functional diversity of BSD-interactions. Persistent interactions were performed by small-seeded, fast growing plant species and by generalist, small-bodied bird species able to cross the fragmented landscape. This reduced subset of interactions forms the metanetwork components persisting to defaunation and fragmentation, and may generate long-term deficits of carbon storage while delaying forest regeneration at the landscape level.","container-title":"Ecology Letters","DOI":"10.1111/ele.12909","ISSN":"1461-0248","issue":"4","language":"en","license":"© 2018 John Wiley &amp; Sons Ltd/CNRS","note":"_eprint: https://onlinelibrary.wiley.com/doi/pdf/10.1111/ele.12909","page":"484-493","source":"Wiley Online Library","title":"Seed-dispersal interactions in fragmented landscapes – a metanetwork approach","volume":"21","author":[{"family":"Emer","given":"Carine"},{"family":"Galetti","given":"Mauro"},{"family":"Pizo","given":"Marco A."},{"family":"Guimarães Jr.","given":"Paulo R."},{"family":"Moraes","given":"Suelen"},{"family":"Piratelli","given":"Augusto"},{"family":"Jordano","given":"Pedro"}],"issued":{"date-parts":[["2018"]]}}}],"schema":"https://github.com/citation-style-language/schema/raw/master/csl-citation.json"}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kern w:val="0"/>
          <w:sz w:val="24"/>
          <w:szCs w:val="24"/>
        </w:rPr>
        <w:t xml:space="preserve">(Emer </w:t>
      </w:r>
      <w:r>
        <w:rPr>
          <w:rFonts w:ascii="Times New Roman" w:hAnsi="Times New Roman" w:cs="Times New Roman"/>
          <w:i/>
          <w:iCs/>
          <w:kern w:val="0"/>
          <w:sz w:val="24"/>
          <w:szCs w:val="24"/>
        </w:rPr>
        <w:t>et al.</w:t>
      </w:r>
      <w:r>
        <w:rPr>
          <w:rFonts w:ascii="Times New Roman" w:hAnsi="Times New Roman" w:cs="Times New Roman"/>
          <w:kern w:val="0"/>
          <w:sz w:val="24"/>
          <w:szCs w:val="24"/>
        </w:rPr>
        <w:t xml:space="preserve"> 2018; Libran-Embid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7A19F1C9" w14:textId="7051D310" w:rsidR="00ED3D4B" w:rsidRDefault="00B13086">
      <w:pPr>
        <w:pBdr>
          <w:top w:val="single" w:sz="4" w:space="1" w:color="000000"/>
          <w:left w:val="single" w:sz="4" w:space="4" w:color="000000"/>
          <w:bottom w:val="single" w:sz="4" w:space="1" w:color="000000"/>
          <w:right w:val="single" w:sz="4" w:space="4" w:color="000000"/>
        </w:pBdr>
        <w:spacing w:line="480" w:lineRule="auto"/>
        <w:jc w:val="both"/>
        <w:rPr>
          <w:rFonts w:ascii="Times New Roman" w:hAnsi="Times New Roman" w:cs="Times New Roman"/>
          <w:sz w:val="24"/>
          <w:szCs w:val="24"/>
        </w:rPr>
      </w:pPr>
      <w:r>
        <w:rPr>
          <w:rFonts w:ascii="Times New Roman" w:hAnsi="Times New Roman" w:cs="Times New Roman"/>
          <w:b/>
          <w:sz w:val="24"/>
          <w:szCs w:val="24"/>
        </w:rPr>
        <w:t>Box 1:</w:t>
      </w:r>
      <w:r>
        <w:rPr>
          <w:rFonts w:ascii="Times New Roman" w:hAnsi="Times New Roman" w:cs="Times New Roman"/>
          <w:sz w:val="24"/>
          <w:szCs w:val="24"/>
        </w:rPr>
        <w:t xml:space="preserve"> </w:t>
      </w:r>
      <w:r>
        <w:rPr>
          <w:rFonts w:ascii="Times New Roman" w:hAnsi="Times New Roman" w:cs="Times New Roman"/>
          <w:b/>
          <w:sz w:val="24"/>
          <w:szCs w:val="24"/>
        </w:rPr>
        <w:t>Ecological definition of meta-network metrics</w:t>
      </w:r>
      <w:r>
        <w:rPr>
          <w:rFonts w:ascii="Times New Roman" w:hAnsi="Times New Roman" w:cs="Times New Roman"/>
          <w:sz w:val="24"/>
          <w:szCs w:val="24"/>
        </w:rPr>
        <w:t xml:space="preserve">: </w:t>
      </w:r>
    </w:p>
    <w:p w14:paraId="272AEDB0" w14:textId="1F589F15" w:rsidR="00ED3D4B" w:rsidRDefault="00B13086">
      <w:pPr>
        <w:pBdr>
          <w:top w:val="single" w:sz="4" w:space="1" w:color="000000"/>
          <w:left w:val="single" w:sz="4" w:space="4" w:color="000000"/>
          <w:bottom w:val="single" w:sz="4" w:space="1" w:color="000000"/>
          <w:right w:val="single" w:sz="4" w:space="4" w:color="000000"/>
        </w:pBd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Meta-networks, as defined by </w:t>
      </w:r>
      <w:r>
        <w:fldChar w:fldCharType="begin"/>
      </w:r>
      <w:r w:rsidR="000C6146">
        <w:rPr>
          <w:rFonts w:ascii="Times New Roman" w:hAnsi="Times New Roman" w:cs="Times New Roman"/>
          <w:sz w:val="24"/>
          <w:szCs w:val="24"/>
        </w:rPr>
        <w:instrText xml:space="preserve"> ADDIN ZOTERO_ITEM CSL_CITATION {"citationID":"9uwuY0cD","properties":{"formattedCitation":"(Emer {\\i{}et al.} 2018)","plainCitation":"(Emer et al. 2018)","dontUpdate":true,"noteIndex":0},"citationItems":[{"id":2289,"uris":["http://zotero.org/users/11234172/items/Z93SVR46"],"itemData":{"id":2289,"type":"article-journal","abstract":"Mutualistic interactions repeatedly preserved across fragmented landscapes can scale-up to form a spatial metanetwork describing the distribution of interactions across patches. We explored the structure of a bird seed-dispersal (BSD) metanetwork in 16 Neotropical forest fragments to test whether a distinct subset of BSD-interactions may mediate landscape functional connectivity. The metanetwork is interaction-rich, modular and poorly connected, showing high beta-diversity and turnover of species and interactions. Interactions involving large-sized species were lost in fragments &lt; 10 000 ha, indicating a strong filtering by habitat fragmentation on the functional diversity of BSD-interactions. Persistent interactions were performed by small-seeded, fast growing plant species and by generalist, small-bodied bird species able to cross the fragmented landscape. This reduced subset of interactions forms the metanetwork components persisting to defaunation and fragmentation, and may generate long-term deficits of carbon storage while delaying forest regeneration at the landscape level.","container-title":"Ecology Letters","DOI":"10.1111/ele.12909","ISSN":"1461-0248","issue":"4","language":"en","license":"© 2018 John Wiley &amp; Sons Ltd/CNRS","note":"_eprint: https://onlinelibrary.wiley.com/doi/pdf/10.1111/ele.12909","page":"484-493","source":"Wiley Online Library","title":"Seed-dispersal interactions in fragmented landscapes – a metanetwork approach","volume":"21","author":[{"family":"Emer","given":"Carine"},{"family":"Galetti","given":"Mauro"},{"family":"Pizo","given":"Marco A."},{"family":"Guimarães Jr.","given":"Paulo R."},{"family":"Moraes","given":"Suelen"},{"family":"Piratelli","given":"Augusto"},{"family":"Jordano","given":"Pedro"}],"issued":{"date-parts":[["2018"]]}}}],"schema":"https://github.com/citation-style-language/schema/raw/master/csl-citation.json"}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Emer </w:t>
      </w:r>
      <w:r>
        <w:rPr>
          <w:rFonts w:ascii="Times New Roman" w:hAnsi="Times New Roman" w:cs="Times New Roman"/>
          <w:i/>
          <w:iCs/>
          <w:sz w:val="24"/>
          <w:szCs w:val="24"/>
        </w:rPr>
        <w:t>et al.</w:t>
      </w:r>
      <w:r>
        <w:rPr>
          <w:rFonts w:ascii="Times New Roman" w:hAnsi="Times New Roman" w:cs="Times New Roman"/>
          <w:sz w:val="24"/>
          <w:szCs w:val="24"/>
        </w:rPr>
        <w:t xml:space="preserve"> 2018</w:t>
      </w:r>
      <w:r>
        <w:rPr>
          <w:rFonts w:ascii="Times New Roman" w:hAnsi="Times New Roman" w:cs="Times New Roman"/>
          <w:sz w:val="24"/>
          <w:szCs w:val="24"/>
        </w:rPr>
        <w:fldChar w:fldCharType="end"/>
      </w:r>
      <w:r>
        <w:rPr>
          <w:rFonts w:ascii="Times New Roman" w:hAnsi="Times New Roman" w:cs="Times New Roman"/>
          <w:sz w:val="24"/>
          <w:szCs w:val="24"/>
        </w:rPr>
        <w:t xml:space="preserve">, describe the distribution of interactions across habitat patches. In this study, each patch, a calcareous grassland, holds a local assemblage of interacting plant and </w:t>
      </w:r>
      <w:r w:rsidR="008D3B19">
        <w:rPr>
          <w:rFonts w:ascii="Times New Roman" w:hAnsi="Times New Roman" w:cs="Times New Roman"/>
          <w:sz w:val="24"/>
          <w:szCs w:val="24"/>
        </w:rPr>
        <w:t xml:space="preserve">wild bee </w:t>
      </w:r>
      <w:r>
        <w:rPr>
          <w:rFonts w:ascii="Times New Roman" w:hAnsi="Times New Roman" w:cs="Times New Roman"/>
          <w:sz w:val="24"/>
          <w:szCs w:val="24"/>
        </w:rPr>
        <w:t xml:space="preserve">species forming a plant-pollinator network. Species interactions shared among grasslands create implicit links that connect local networks into a meta-network. Effective restoration can benefit from understanding how local and landscape management influence key meta-network metrics. </w:t>
      </w:r>
      <w:r w:rsidR="00353C6E">
        <w:rPr>
          <w:rFonts w:ascii="Times New Roman" w:hAnsi="Times New Roman" w:cs="Times New Roman"/>
          <w:sz w:val="24"/>
          <w:szCs w:val="24"/>
        </w:rPr>
        <w:t xml:space="preserve">Quantifying these structural patterns can facilitate the identification of distinct ecological facets, such as diversity, complementarity, redundancy or meta-network impairment </w:t>
      </w:r>
      <w:r w:rsidR="00353C6E">
        <w:fldChar w:fldCharType="begin"/>
      </w:r>
      <w:r w:rsidR="00353C6E">
        <w:rPr>
          <w:rFonts w:ascii="Times New Roman" w:hAnsi="Times New Roman" w:cs="Times New Roman"/>
          <w:sz w:val="24"/>
          <w:szCs w:val="24"/>
        </w:rPr>
        <w:instrText>ADDIN ZOTERO_ITEM CSL_CITATION {"citationID":"dfd1GqTU","properties":{"formattedCitation":"(Delmas {\\i{}et al.} 2019; Emer {\\i{}et al.} 2018)","plainCitation":"(Delmas et al. 2019; Emer et al. 2018)","noteIndex":0},"citationItems":[{"id":2310,"uris":["http://zotero.org/users/11234172/items/WRELASE9"],"itemData":{"id":2310,"type":"article-journal","abstract":"Network approaches to ecological questions have been increasingly used, particularly in recent decades. The abstraction of ecological systems – such as communities – through networks of interactions between their components indeed provides a way to summarize this information with single objects. The methodological framework derived from graph theory also provides numerous approaches and measures to analyze these objects and can offer new perspectives on established ecological theories as well as tools to address new challenges. However, prior to using these methods to test ecological hypotheses, it is necessary that we understand, adapt, and use them in ways that both allow us to deliver their full potential and account for their limitations. Here, we attempt to increase the accessibility of network approaches by providing a review of the tools that have been developed so far, with – what we believe to be – their appropriate uses and potential limitations. This is not an exhaustive review of all methods and metrics, but rather, an overview of tools that are robust, informative, and ecologically sound. After providing a brief presentation of species interaction networks and how to build them in order to summarize ecological information of different types, we then classify methods and metrics by the types of ecological questions that they can be used to answer from global to local scales, including methods for hypothesis testing and future perspectives. Specifically, we show how the organization of species interactions in a community yields different network structures (e.g., more or less dense, modular or nested), how different measures can be used to describe and quantify these emerging structures, and how to compare communities based on these differences in structures. Within networks, we illustrate metrics that can be used to describe and compare the functional and dynamic roles of species based on their position in the network and the organization of their interactions as well as associated new methods to test the significance of these results. Lastly, we describe potential fruitful avenues for new methodological developments to address novel ecological questions.","container-title":"Biological Reviews","DOI":"10.1111/brv.12433","ISSN":"1469-185X","issue":"1","language":"en","license":"© 2018 Cambridge Philosophical Society","note":"_eprint: https://onlinelibrary.wiley.com/doi/pdf/10.1111/brv.12433","page":"16-36","source":"Wiley Online Library","title":"Analysing ecological networks of species interactions","volume":"94","author":[{"family":"Delmas","given":"Eva"},{"family":"Besson","given":"Mathilde"},{"family":"Brice","given":"Marie-Hélène"},{"family":"Burkle","given":"Laura A."},{"family":"Dalla Riva","given":"Giulio V."},{"family":"Fortin","given":"Marie-Josée"},{"family":"Gravel","given":"Dominique"},{"family":"Guimarães Jr.","given":"Paulo R."},{"family":"Hembry","given":"David H."},{"family":"Newman","given":"Erica A."},{"family":"Olesen","given":"Jens M."},{"family":"Pires","given":"Mathias M."},{"family":"Yeakel","given":"Justin D."},{"family":"Poisot","given":"Timothée"}],"issued":{"date-parts":[["2019"]]}}},{"id":2289,"uris":["http://zotero.org/users/11234172/items/Z93SVR46"],"itemData":{"id":2289,"type":"article-journal","abstract":"Mutualistic interactions repeatedly preserved across fragmented landscapes can scale-up to form a spatial metanetwork describing the distribution of interactions across patches. We explored the structure of a bird seed-dispersal (BSD) metanetwork in 16 Neotropical forest fragments to test whether a distinct subset of BSD-interactions may mediate landscape functional connectivity. The metanetwork is interaction-rich, modular and poorly connected, showing high beta-diversity and turnover of species and interactions. Interactions involving large-sized species were lost in fragments &lt; 10 000 ha, indicating a strong filtering by habitat fragmentation on the functional diversity of BSD-interactions. Persistent interactions were performed by small-seeded, fast growing plant species and by generalist, small-bodied bird species able to cross the fragmented landscape. This reduced subset of interactions forms the metanetwork components persisting to defaunation and fragmentation, and may generate long-term deficits of carbon storage while delaying forest regeneration at the landscape level.","container-title":"Ecology Letters","DOI":"10.1111/ele.12909","ISSN":"1461-0248","issue":"4","language":"en","license":"© 2018 John Wiley &amp; Sons Ltd/CNRS","note":"_eprint: https://onlinelibrary.wiley.com/doi/pdf/10.1111/ele.12909","page":"484-493","source":"Wiley Online Library","title":"Seed-dispersal interactions in fragmented landscapes – a metanetwork approach","volume":"21","author":[{"family":"Emer","given":"Carine"},{"family":"Galetti","given":"Mauro"},{"family":"Pizo","given":"Marco A."},{"family":"Guimarães Jr.","given":"Paulo R."},{"family":"Moraes","given":"Suelen"},{"family":"Piratelli","given":"Augusto"},{"family":"Jordano","given":"Pedro"}],"issued":{"date-parts":[["2018"]]}}}],"schema":"https://github.com/citation-style-language/schema/raw/master/csl-citation.json"}Which ones? Does this refer to the metrics described below?</w:instrText>
      </w:r>
      <w:r w:rsidR="00353C6E">
        <w:rPr>
          <w:rFonts w:ascii="Times New Roman" w:hAnsi="Times New Roman" w:cs="Times New Roman"/>
          <w:sz w:val="24"/>
          <w:szCs w:val="24"/>
        </w:rPr>
        <w:fldChar w:fldCharType="separate"/>
      </w:r>
      <w:r w:rsidR="00353C6E">
        <w:rPr>
          <w:rFonts w:ascii="Times New Roman" w:hAnsi="Times New Roman" w:cs="Times New Roman"/>
          <w:sz w:val="24"/>
          <w:szCs w:val="24"/>
        </w:rPr>
        <w:t xml:space="preserve">(Delmas </w:t>
      </w:r>
      <w:r w:rsidR="00353C6E">
        <w:rPr>
          <w:rFonts w:ascii="Times New Roman" w:hAnsi="Times New Roman" w:cs="Times New Roman"/>
          <w:i/>
          <w:iCs/>
          <w:sz w:val="24"/>
          <w:szCs w:val="24"/>
        </w:rPr>
        <w:t>et al.</w:t>
      </w:r>
      <w:r w:rsidR="00353C6E">
        <w:rPr>
          <w:rFonts w:ascii="Times New Roman" w:hAnsi="Times New Roman" w:cs="Times New Roman"/>
          <w:sz w:val="24"/>
          <w:szCs w:val="24"/>
        </w:rPr>
        <w:t xml:space="preserve"> 2019; Emer </w:t>
      </w:r>
      <w:r w:rsidR="00353C6E">
        <w:rPr>
          <w:rFonts w:ascii="Times New Roman" w:hAnsi="Times New Roman" w:cs="Times New Roman"/>
          <w:i/>
          <w:iCs/>
          <w:sz w:val="24"/>
          <w:szCs w:val="24"/>
        </w:rPr>
        <w:t>et al.</w:t>
      </w:r>
      <w:r w:rsidR="00353C6E">
        <w:rPr>
          <w:rFonts w:ascii="Times New Roman" w:hAnsi="Times New Roman" w:cs="Times New Roman"/>
          <w:sz w:val="24"/>
          <w:szCs w:val="24"/>
        </w:rPr>
        <w:t xml:space="preserve"> 2018)</w:t>
      </w:r>
      <w:r w:rsidR="00353C6E">
        <w:rPr>
          <w:rFonts w:ascii="Times New Roman" w:hAnsi="Times New Roman" w:cs="Times New Roman"/>
          <w:sz w:val="24"/>
          <w:szCs w:val="24"/>
        </w:rPr>
        <w:fldChar w:fldCharType="end"/>
      </w:r>
      <w:r w:rsidR="00353C6E">
        <w:rPr>
          <w:rFonts w:ascii="Times New Roman" w:hAnsi="Times New Roman" w:cs="Times New Roman"/>
          <w:sz w:val="24"/>
          <w:szCs w:val="24"/>
        </w:rPr>
        <w:t xml:space="preserve">. </w:t>
      </w:r>
      <w:r>
        <w:rPr>
          <w:rFonts w:ascii="Times New Roman" w:hAnsi="Times New Roman" w:cs="Times New Roman"/>
          <w:sz w:val="24"/>
          <w:szCs w:val="24"/>
        </w:rPr>
        <w:t>Below, we describe some meta-network metrics and outline their ecological relevance in the context of this study:</w:t>
      </w:r>
    </w:p>
    <w:p w14:paraId="0FAA2CAD" w14:textId="77777777" w:rsidR="00ED3D4B" w:rsidRDefault="00B13086">
      <w:pPr>
        <w:pBdr>
          <w:top w:val="single" w:sz="4" w:space="1" w:color="000000"/>
          <w:left w:val="single" w:sz="4" w:space="4" w:color="000000"/>
          <w:bottom w:val="single" w:sz="4" w:space="1" w:color="000000"/>
          <w:right w:val="single" w:sz="4" w:space="4" w:color="000000"/>
        </w:pBdr>
        <w:spacing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t>Diversity</w:t>
      </w:r>
    </w:p>
    <w:p w14:paraId="0E809908" w14:textId="77777777" w:rsidR="00ED3D4B" w:rsidRDefault="00B13086">
      <w:pPr>
        <w:pBdr>
          <w:top w:val="single" w:sz="4" w:space="1" w:color="000000"/>
          <w:left w:val="single" w:sz="4" w:space="4" w:color="000000"/>
          <w:bottom w:val="single" w:sz="4" w:space="1" w:color="000000"/>
          <w:right w:val="single" w:sz="4" w:space="4" w:color="000000"/>
        </w:pBdr>
        <w:spacing w:line="480" w:lineRule="auto"/>
        <w:jc w:val="both"/>
        <w:rPr>
          <w:rFonts w:ascii="Times New Roman" w:hAnsi="Times New Roman" w:cs="Times New Roman"/>
          <w:sz w:val="24"/>
          <w:szCs w:val="24"/>
        </w:rPr>
      </w:pPr>
      <w:r>
        <w:rPr>
          <w:rFonts w:ascii="Times New Roman" w:hAnsi="Times New Roman" w:cs="Times New Roman"/>
          <w:i/>
          <w:sz w:val="24"/>
          <w:szCs w:val="24"/>
        </w:rPr>
        <w:t>1) Interaction richness</w:t>
      </w:r>
      <w:r>
        <w:rPr>
          <w:rFonts w:ascii="Times New Roman" w:hAnsi="Times New Roman" w:cs="Times New Roman"/>
          <w:iCs/>
          <w:sz w:val="24"/>
          <w:szCs w:val="24"/>
        </w:rPr>
        <w:t xml:space="preserve"> or </w:t>
      </w:r>
      <w:r w:rsidRPr="00353C6E">
        <w:rPr>
          <w:rFonts w:ascii="Times New Roman" w:hAnsi="Times New Roman" w:cs="Times New Roman"/>
          <w:i/>
          <w:sz w:val="24"/>
          <w:szCs w:val="24"/>
        </w:rPr>
        <w:t>g</w:t>
      </w:r>
      <w:r>
        <w:rPr>
          <w:rFonts w:ascii="Times New Roman" w:hAnsi="Times New Roman" w:cs="Times New Roman"/>
          <w:i/>
          <w:sz w:val="24"/>
          <w:szCs w:val="24"/>
        </w:rPr>
        <w:t>rassland degree centrality:</w:t>
      </w:r>
      <w:r>
        <w:rPr>
          <w:rFonts w:ascii="Times New Roman" w:hAnsi="Times New Roman" w:cs="Times New Roman"/>
          <w:sz w:val="24"/>
          <w:szCs w:val="24"/>
        </w:rPr>
        <w:t xml:space="preserve"> reflects the</w:t>
      </w:r>
      <w:r>
        <w:rPr>
          <w:rFonts w:ascii="Times New Roman" w:hAnsi="Times New Roman" w:cs="Times New Roman"/>
          <w:iCs/>
          <w:sz w:val="24"/>
          <w:szCs w:val="24"/>
        </w:rPr>
        <w:t xml:space="preserve"> </w:t>
      </w:r>
      <w:r>
        <w:rPr>
          <w:rFonts w:ascii="Times New Roman" w:hAnsi="Times New Roman" w:cs="Times New Roman"/>
          <w:sz w:val="24"/>
          <w:szCs w:val="24"/>
        </w:rPr>
        <w:t xml:space="preserve">number of all different pairwise plant-wild bee interactions in a grassland (node). It is measured by counting the direct connections (edges), represented by interactions in the case of meta-networks. </w:t>
      </w:r>
    </w:p>
    <w:p w14:paraId="767B7383" w14:textId="77777777" w:rsidR="00ED3D4B" w:rsidRDefault="00B13086">
      <w:pPr>
        <w:pBdr>
          <w:top w:val="single" w:sz="4" w:space="1" w:color="000000"/>
          <w:left w:val="single" w:sz="4" w:space="4" w:color="000000"/>
          <w:bottom w:val="single" w:sz="4" w:space="1" w:color="000000"/>
          <w:right w:val="single" w:sz="4" w:space="4" w:color="000000"/>
        </w:pBdr>
        <w:spacing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t>Complementarity</w:t>
      </w:r>
    </w:p>
    <w:p w14:paraId="790B5DD9" w14:textId="78E99F5C" w:rsidR="00ED3D4B" w:rsidRDefault="00B13086">
      <w:pPr>
        <w:pBdr>
          <w:top w:val="single" w:sz="4" w:space="1" w:color="000000"/>
          <w:left w:val="single" w:sz="4" w:space="4" w:color="000000"/>
          <w:bottom w:val="single" w:sz="4" w:space="1" w:color="000000"/>
          <w:right w:val="single" w:sz="4" w:space="4" w:color="000000"/>
        </w:pBdr>
        <w:spacing w:line="480" w:lineRule="auto"/>
        <w:jc w:val="both"/>
        <w:rPr>
          <w:rFonts w:ascii="Times New Roman" w:hAnsi="Times New Roman" w:cs="Times New Roman"/>
          <w:sz w:val="24"/>
          <w:szCs w:val="24"/>
        </w:rPr>
      </w:pPr>
      <w:r>
        <w:rPr>
          <w:rFonts w:ascii="Times New Roman" w:hAnsi="Times New Roman" w:cs="Times New Roman"/>
          <w:i/>
          <w:iCs/>
          <w:sz w:val="24"/>
          <w:szCs w:val="24"/>
        </w:rPr>
        <w:lastRenderedPageBreak/>
        <w:t>2) Single-site interaction richness</w:t>
      </w:r>
      <w:r>
        <w:rPr>
          <w:rFonts w:ascii="Times New Roman" w:hAnsi="Times New Roman" w:cs="Times New Roman"/>
          <w:sz w:val="24"/>
          <w:szCs w:val="24"/>
        </w:rPr>
        <w:t xml:space="preserve">: single site interactions are those interactions that were encountered in only one grassland during the total monitoring period </w:t>
      </w:r>
      <w:r>
        <w:fldChar w:fldCharType="begin"/>
      </w:r>
      <w:r>
        <w:rPr>
          <w:rFonts w:ascii="Times New Roman" w:hAnsi="Times New Roman" w:cs="Times New Roman"/>
          <w:sz w:val="24"/>
          <w:szCs w:val="24"/>
        </w:rPr>
        <w:instrText>ADDIN ZOTERO_ITEM CSL_CITATION {"citationID":"03wRkWhQ","properties":{"formattedCitation":"(Libr\\uc0\\u225{}n-Embid {\\i{}et al.} 2021)","plainCitation":"(Librán-Embid et al. 2021)","noteIndex":0},"citationItems":[{"id":2293,"uris":["http://zotero.org/users/11234172/items/Q3QJE3PI"],"itemData":{"id":2293,"type":"article-journal","abstract":"To understand how plant–pollinator interactions respond to habitat fragmentation, we need novel approaches that can capture properties that emerge at broad scales, where multiple communities engage in metanetworks. Here we studied plant–pollinator interactions over 2 years on 29 calcareous grassland fragments selected along independent gradients of habitat size and surrounding landscape diversity of cover types. We associated network centrality of plant–pollinator interactions and grassland fragments with their ecological and landscape traits, respectively. Interactions involving habitat specialist plants and large-bodied pollinators were the most central, implying that species with these traits form the metanetwork core. Large fragments embedded in landscapes with high land cover diversity exhibited the highest centrality; however, small fragments harboured many unique interactions not found on larger fragments. Intensively managed landscapes have reached a point in which all remaining fragments matter, meaning that losing any further areas may vanish unique interactions with unknown consequences for ecosystem functioning.","container-title":"Ecology Letters","DOI":"10.1111/ele.13892","ISSN":"1461-0248","issue":"12","language":"en","license":"© 2021 The Authors. Ecology Letters published by John Wiley &amp; Sons Ltd.","note":"_eprint: https://onlinelibrary.wiley.com/doi/pdf/10.1111/ele.13892","page":"2700-2712","source":"Wiley Online Library","title":"A plant–pollinator metanetwork along a habitat fragmentation gradient","volume":"24","author":[{"family":"Librán-Embid","given":"Felipe"},{"family":"Grass","given":"Ingo"},{"family":"Emer","given":"Carine"},{"family":"Ganuza","given":"Cristina"},{"family":"Tscharntke","given":"Teja"}],"issued":{"date-parts":[["2021"]]}}}],"schema":"https://github.com/citation-style-language/schema/raw/master/csl-citation.json"}We don’t yet know that data were collected in three different countries. I don’t think it is needed here.</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(Librán-Embid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They have a degree that equals to one in a bipartite meta-network projection. Thus, </w:t>
      </w:r>
      <w:r>
        <w:rPr>
          <w:rFonts w:ascii="Times New Roman" w:hAnsi="Times New Roman" w:cs="Times New Roman"/>
          <w:i/>
          <w:iCs/>
          <w:sz w:val="24"/>
          <w:szCs w:val="24"/>
        </w:rPr>
        <w:t xml:space="preserve">single-site interaction richness </w:t>
      </w:r>
      <w:r>
        <w:rPr>
          <w:rFonts w:ascii="Times New Roman" w:hAnsi="Times New Roman" w:cs="Times New Roman"/>
          <w:iCs/>
          <w:sz w:val="24"/>
          <w:szCs w:val="24"/>
        </w:rPr>
        <w:t>is</w:t>
      </w:r>
      <w:r>
        <w:rPr>
          <w:rFonts w:ascii="Times New Roman" w:hAnsi="Times New Roman" w:cs="Times New Roman"/>
          <w:sz w:val="24"/>
          <w:szCs w:val="24"/>
        </w:rPr>
        <w:t xml:space="preserve"> the number of single-site interactions per grassland</w:t>
      </w:r>
      <w:r>
        <w:rPr>
          <w:rFonts w:ascii="Times New Roman" w:hAnsi="Times New Roman" w:cs="Times New Roman"/>
          <w:kern w:val="0"/>
          <w:sz w:val="24"/>
          <w:szCs w:val="24"/>
        </w:rPr>
        <w:t>. The single-site interaction richness can be interpreted as a proxy for spatial complementarity, as these interactions are unique across large spatial scales</w:t>
      </w:r>
      <w:r>
        <w:rPr>
          <w:rFonts w:ascii="Times New Roman" w:hAnsi="Times New Roman" w:cs="Times New Roman"/>
          <w:sz w:val="24"/>
          <w:szCs w:val="24"/>
        </w:rPr>
        <w:t>.</w:t>
      </w:r>
    </w:p>
    <w:p w14:paraId="0E772F2C" w14:textId="37A79A8E" w:rsidR="00ED3D4B" w:rsidRDefault="00B13086">
      <w:pPr>
        <w:pBdr>
          <w:top w:val="single" w:sz="4" w:space="1" w:color="000000"/>
          <w:left w:val="single" w:sz="4" w:space="4" w:color="000000"/>
          <w:bottom w:val="single" w:sz="4" w:space="1" w:color="000000"/>
          <w:right w:val="single" w:sz="4" w:space="4" w:color="000000"/>
        </w:pBdr>
        <w:spacing w:line="480" w:lineRule="auto"/>
        <w:jc w:val="both"/>
        <w:rPr>
          <w:rFonts w:ascii="Times New Roman" w:hAnsi="Times New Roman" w:cs="Times New Roman"/>
          <w:sz w:val="24"/>
          <w:szCs w:val="24"/>
        </w:rPr>
      </w:pPr>
      <w:r>
        <w:rPr>
          <w:rFonts w:ascii="Times New Roman" w:hAnsi="Times New Roman" w:cs="Times New Roman"/>
          <w:i/>
          <w:iCs/>
          <w:sz w:val="24"/>
          <w:szCs w:val="24"/>
        </w:rPr>
        <w:t>3) Proportion of single</w:t>
      </w:r>
      <w:r w:rsidR="00D27BE4">
        <w:rPr>
          <w:rFonts w:ascii="Times New Roman" w:hAnsi="Times New Roman" w:cs="Times New Roman"/>
          <w:i/>
          <w:iCs/>
          <w:sz w:val="24"/>
          <w:szCs w:val="24"/>
        </w:rPr>
        <w:t>-</w:t>
      </w:r>
      <w:r>
        <w:rPr>
          <w:rFonts w:ascii="Times New Roman" w:hAnsi="Times New Roman" w:cs="Times New Roman"/>
          <w:i/>
          <w:iCs/>
          <w:sz w:val="24"/>
          <w:szCs w:val="24"/>
        </w:rPr>
        <w:t>site interactions</w:t>
      </w:r>
      <w:r>
        <w:rPr>
          <w:rFonts w:ascii="Times New Roman" w:hAnsi="Times New Roman" w:cs="Times New Roman"/>
          <w:sz w:val="24"/>
          <w:szCs w:val="24"/>
        </w:rPr>
        <w:t>: single-site interaction richness divided by interaction richness per grassland. It can be interpreted as the proportion of complementary interactions among all interactions.</w:t>
      </w:r>
    </w:p>
    <w:p w14:paraId="0D596BBA" w14:textId="77777777" w:rsidR="00ED3D4B" w:rsidRDefault="00B13086">
      <w:pPr>
        <w:pBdr>
          <w:top w:val="single" w:sz="4" w:space="1" w:color="000000"/>
          <w:left w:val="single" w:sz="4" w:space="4" w:color="000000"/>
          <w:bottom w:val="single" w:sz="4" w:space="1" w:color="000000"/>
          <w:right w:val="single" w:sz="4" w:space="4" w:color="000000"/>
        </w:pBdr>
        <w:spacing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Redundancy </w:t>
      </w:r>
    </w:p>
    <w:p w14:paraId="3A866FA6" w14:textId="77777777" w:rsidR="00ED3D4B" w:rsidRDefault="00B13086">
      <w:pPr>
        <w:pBdr>
          <w:top w:val="single" w:sz="4" w:space="1" w:color="000000"/>
          <w:left w:val="single" w:sz="4" w:space="4" w:color="000000"/>
          <w:bottom w:val="single" w:sz="4" w:space="1" w:color="000000"/>
          <w:right w:val="single" w:sz="4" w:space="4" w:color="000000"/>
        </w:pBdr>
        <w:spacing w:line="480" w:lineRule="auto"/>
        <w:jc w:val="both"/>
        <w:rPr>
          <w:rFonts w:ascii="Times New Roman" w:hAnsi="Times New Roman" w:cs="Times New Roman"/>
          <w:sz w:val="24"/>
          <w:szCs w:val="24"/>
        </w:rPr>
      </w:pPr>
      <w:r>
        <w:rPr>
          <w:rFonts w:ascii="Times New Roman" w:hAnsi="Times New Roman" w:cs="Times New Roman"/>
          <w:i/>
          <w:sz w:val="24"/>
          <w:szCs w:val="24"/>
        </w:rPr>
        <w:t>4) Grassland</w:t>
      </w:r>
      <w:r>
        <w:rPr>
          <w:rFonts w:ascii="Times New Roman" w:hAnsi="Times New Roman" w:cs="Times New Roman"/>
          <w:sz w:val="24"/>
          <w:szCs w:val="24"/>
        </w:rPr>
        <w:t xml:space="preserve"> </w:t>
      </w:r>
      <w:r>
        <w:rPr>
          <w:rFonts w:ascii="Times New Roman" w:hAnsi="Times New Roman" w:cs="Times New Roman"/>
          <w:i/>
          <w:iCs/>
          <w:sz w:val="24"/>
          <w:szCs w:val="24"/>
        </w:rPr>
        <w:t>eigenvector centrality</w:t>
      </w:r>
      <w:r>
        <w:rPr>
          <w:rFonts w:ascii="Times New Roman" w:hAnsi="Times New Roman" w:cs="Times New Roman"/>
          <w:sz w:val="24"/>
          <w:szCs w:val="24"/>
        </w:rPr>
        <w:t xml:space="preserve"> </w:t>
      </w:r>
      <w:r>
        <w:fldChar w:fldCharType="begin"/>
      </w:r>
      <w:r>
        <w:rPr>
          <w:rFonts w:ascii="Times New Roman" w:hAnsi="Times New Roman" w:cs="Times New Roman"/>
          <w:sz w:val="24"/>
          <w:szCs w:val="24"/>
        </w:rPr>
        <w:instrText>ADDIN ZOTERO_ITEM CSL_CITATION {"citationID":"ovQ7oiOr","properties":{"formattedCitation":"(Bonacich 1987)","plainCitation":"(Bonacich 1987)","noteIndex":0},"citationItems":[{"id":4954,"uris":["http://zotero.org/users/11234172/items/MC94L856"],"itemData":{"id":4954,"type":"article-journal","abstract":"Although network centrality is generally assumed to produce power, recent research shows that this is not the case in exchange networks. This paper proposes a generalization of the concept of centrality that accounts for both the usual positive relationship between power and centrality and Cook et al.'s recent exceptional results.","container-title":"American Journal of Sociology","ISSN":"0002-9602","issue":"5","note":"publisher: The University of Chicago Press","page":"1170-1182","source":"JSTOR","title":"Power and Centrality: A Family of Measures","title-short":"Power and Centrality","volume":"92","author":[{"family":"Bonacich","given":"Phillip"}],"issued":{"date-parts":[["1987"]]}}}],"schema":"https://github.com/citation-style-language/schema/raw/master/csl-citation.json"}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rPr>
        <w:t>(Bonacich 1987)</w:t>
      </w:r>
      <w:r>
        <w:rPr>
          <w:rFonts w:ascii="Times New Roman" w:hAnsi="Times New Roman" w:cs="Times New Roman"/>
          <w:sz w:val="24"/>
          <w:szCs w:val="24"/>
        </w:rPr>
        <w:fldChar w:fldCharType="end"/>
      </w:r>
      <w:r>
        <w:rPr>
          <w:rFonts w:ascii="Times New Roman" w:hAnsi="Times New Roman" w:cs="Times New Roman"/>
          <w:sz w:val="24"/>
          <w:szCs w:val="24"/>
        </w:rPr>
        <w:t>: measures how strongly a grassland is connected to other well-connected grasslands within the meta</w:t>
      </w:r>
      <w:r>
        <w:rPr>
          <w:rFonts w:ascii="Times New Roman" w:hAnsi="Times New Roman" w:cs="Times New Roman"/>
          <w:sz w:val="24"/>
          <w:szCs w:val="24"/>
        </w:rPr>
        <w:noBreakHyphen/>
        <w:t xml:space="preserve">network. It is calculated through an iterative process that gives higher scores to grasslands linked to others with high centrality. Thereby, this metric is a proxy for interaction redundancy across space. Grasslands with high eigenvector centrality are those that act as </w:t>
      </w:r>
      <w:r>
        <w:rPr>
          <w:rFonts w:ascii="Times New Roman" w:hAnsi="Times New Roman" w:cs="Times New Roman"/>
          <w:i/>
          <w:iCs/>
          <w:sz w:val="24"/>
          <w:szCs w:val="24"/>
        </w:rPr>
        <w:t>keystone grasslands</w:t>
      </w:r>
      <w:r>
        <w:rPr>
          <w:rFonts w:ascii="Times New Roman" w:hAnsi="Times New Roman" w:cs="Times New Roman"/>
          <w:sz w:val="24"/>
          <w:szCs w:val="24"/>
        </w:rPr>
        <w:t xml:space="preserve"> in the meta-network. </w:t>
      </w:r>
    </w:p>
    <w:p w14:paraId="52760C2B" w14:textId="73DDE4BB" w:rsidR="00ED3D4B" w:rsidRDefault="00B13086">
      <w:pPr>
        <w:pBdr>
          <w:top w:val="single" w:sz="4" w:space="1" w:color="000000"/>
          <w:left w:val="single" w:sz="4" w:space="4" w:color="000000"/>
          <w:bottom w:val="single" w:sz="4" w:space="1" w:color="000000"/>
          <w:right w:val="single" w:sz="4" w:space="4" w:color="000000"/>
        </w:pBd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5) Grassland’s </w:t>
      </w:r>
      <w:r>
        <w:rPr>
          <w:rFonts w:ascii="Times New Roman" w:hAnsi="Times New Roman" w:cs="Times New Roman"/>
          <w:i/>
          <w:iCs/>
          <w:sz w:val="24"/>
          <w:szCs w:val="24"/>
        </w:rPr>
        <w:t>apparent influence</w:t>
      </w:r>
      <w:r>
        <w:rPr>
          <w:rFonts w:ascii="Times New Roman" w:hAnsi="Times New Roman" w:cs="Times New Roman"/>
          <w:sz w:val="24"/>
          <w:szCs w:val="24"/>
        </w:rPr>
        <w:t xml:space="preserve"> </w:t>
      </w:r>
      <w:r>
        <w:fldChar w:fldCharType="begin"/>
      </w:r>
      <w:r>
        <w:rPr>
          <w:rFonts w:ascii="Times New Roman" w:hAnsi="Times New Roman" w:cs="Times New Roman"/>
          <w:sz w:val="24"/>
          <w:szCs w:val="24"/>
        </w:rPr>
        <w:instrText>ADDIN ZOTERO_ITEM CSL_CITATION {"citationID":"ss7CIhfS","properties":{"formattedCitation":"(Marini {\\i{}et al.} 2019)","plainCitation":"(Marini et al. 2019)","noteIndex":0},"citationItems":[{"id":4831,"uris":["http://zotero.org/users/11234172/items/3Y6EKLUK"],"itemData":{"id":4831,"type":"article-journal","abstract":"Land-use change is reshaping terrestrial ecosystems world-wide and is recognized as a key driver of biodiversity loss with negative consequences on ecosystem functioning. Understanding how species use resources across landscapes is essential for the design of effective management strategies. Despite recent advances in network ecology, there is still a gap between theory and applied ecological science, and we lack the information to manage entire landscapes to maximize biodiversity conservation and ecosystem service delivery. While several pioneering approaches have tried to link ecological networks and conservation science, applied ecologists still struggle to incorporate these models into research due to their inherent complexity. We propose the application of bipartite networks principles to create species–habitat networks. This approach explicitly links multiple species and habitat resources, provides tools to estimate the importance of particular species or specific habitat in a given landscape, and quantifies emerging properties of entire habitat networks. Most existing metrics used to study properties of bipartite ecological networks can easily be adapted to investigate species–habitat relationships. The tool use is relatively simple and does not require advanced computational expertise. Synthesis and applications. One of the biggest challenges in applied ecology is managing multiple habitats for the effective conservation of multiple species. One key advantage of this proposed approach is that the scale of the derived ecological information could match the scale of landscape management interventions. The versatility, visualization power and ease of interpretation of these networks will enable application of the species–habitat network concept to a wide array of real-world problems, such as multispecies conservation, habitat restoration, ecosystem services management or invasion ecology. In particular, species–habitat networks could be applied to identify optimal landscape compositions and configurations to design effective interventions at the landscape scale. This approach also enables the detection of emerging network properties that could also be used to test the effects of large-scale drivers of global change upon ecosystem structure and stability.","container-title":"Journal of Applied Ecology","DOI":"10.1111/1365-2664.13337","ISSN":"1365-2664","issue":"4","language":"en","license":"© 2019 The Authors. Journal of Applied Ecology © 2019 British Ecological Society","note":"_eprint: https://onlinelibrary.wiley.com/doi/pdf/10.1111/1365-2664.13337","page":"923-928","source":"Wiley Online Library","title":"Species–habitat networks: A tool to improve landscape management for conservation","title-short":"Species–habitat networks","volume":"56","author":[{"family":"Marini","given":"Lorenzo"},{"family":"Bartomeus","given":"Ignasi"},{"family":"Rader","given":"Romina"},{"family":"Lami","given":"Francesco"}],"issued":{"date-parts":[["2019"]]}}}],"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kern w:val="0"/>
          <w:sz w:val="24"/>
          <w:szCs w:val="24"/>
        </w:rPr>
        <w:t xml:space="preserve">(Marini </w:t>
      </w:r>
      <w:r>
        <w:rPr>
          <w:rFonts w:ascii="Times New Roman" w:hAnsi="Times New Roman" w:cs="Times New Roman"/>
          <w:i/>
          <w:iCs/>
          <w:kern w:val="0"/>
          <w:sz w:val="24"/>
          <w:szCs w:val="24"/>
        </w:rPr>
        <w:t>et al.</w:t>
      </w:r>
      <w:r>
        <w:rPr>
          <w:rFonts w:ascii="Times New Roman" w:hAnsi="Times New Roman" w:cs="Times New Roman"/>
          <w:kern w:val="0"/>
          <w:sz w:val="24"/>
          <w:szCs w:val="24"/>
        </w:rPr>
        <w:t xml:space="preserve"> 2019)</w:t>
      </w:r>
      <w:r>
        <w:rPr>
          <w:rFonts w:ascii="Times New Roman" w:hAnsi="Times New Roman" w:cs="Times New Roman"/>
          <w:sz w:val="24"/>
          <w:szCs w:val="24"/>
        </w:rPr>
        <w:fldChar w:fldCharType="end"/>
      </w:r>
      <w:r>
        <w:rPr>
          <w:rFonts w:ascii="Times New Roman" w:hAnsi="Times New Roman" w:cs="Times New Roman"/>
          <w:sz w:val="24"/>
          <w:szCs w:val="24"/>
        </w:rPr>
        <w:t>: measures the extent to which a grassland supports interactions that are also found in other grasslands, thereby fostering functional redundancy in the meta</w:t>
      </w:r>
      <w:r>
        <w:rPr>
          <w:rFonts w:ascii="Times New Roman" w:hAnsi="Times New Roman" w:cs="Times New Roman"/>
          <w:sz w:val="24"/>
          <w:szCs w:val="24"/>
        </w:rPr>
        <w:noBreakHyphen/>
        <w:t xml:space="preserve">network. It is calculated as the fraction of a grassland’s interactions that are also present elsewhere, following the overlap diagram approach of </w:t>
      </w:r>
      <w:r w:rsidR="00533399">
        <w:rPr>
          <w:rFonts w:ascii="Times New Roman" w:hAnsi="Times New Roman" w:cs="Times New Roman"/>
          <w:sz w:val="24"/>
          <w:szCs w:val="24"/>
        </w:rPr>
        <w:fldChar w:fldCharType="begin"/>
      </w:r>
      <w:r w:rsidR="00000B88">
        <w:rPr>
          <w:rFonts w:ascii="Times New Roman" w:hAnsi="Times New Roman" w:cs="Times New Roman"/>
          <w:sz w:val="24"/>
          <w:szCs w:val="24"/>
        </w:rPr>
        <w:instrText xml:space="preserve"> ADDIN ZOTERO_ITEM CSL_CITATION {"citationID":"fqyGNmmG","properties":{"formattedCitation":"(Muller {\\i{}et al.} 1999)","plainCitation":"(Muller et al. 1999)","dontUpdate":true,"noteIndex":0},"citationItems":[{"id":4953,"uris":["http://zotero.org/users/11234172/items/8DJUVHIC"],"itemData":{"id":4953,"type":"article-journal","abstract":"1. A quantitative parasitoid web was constructed describing the trophic relationships between the community of aphids, parasitoids and secondary parasitoids in an abandoned field in southern England. Root aphids were omitted and secondary parasitoids were associated with aphids rather than primary parasitoids. All aphids, parasitoids and trophic links were expressed in the same units (m−2). Over a 2-year period, separate webs were constructed for every month that aphids and parasitoids were active in the field. 2. Twenty-six species of plants were attacked by 25 species of aphid which were parasitized by 18 species of primary parasitoids. The primary parasitoids were attacked by 28 species of secondary parasitoids, of which 18 directly attacked the still living aphid (hyperparasitoids) and 10 attacked the aphid after mummification (mummy parasitoids). The aphids were attended by three species of ants. 3. Eleven webs were constructed for the months May to September 1994 and May to October 1995. Aphids and primary parasitoids were most abundant and diverse in June, and secondary parasitoids one month later. 4. The ratios of the number of aphid species to the number of species of primary parasitoid and hyperparasitoid were relatively constant across webs, as was the ratio of the number of links involving hyperparasitoids and mummy parasitoids. The ratio of the total number of links to the total number of species increased with web size. 5. The relative abundance of the species in the different webs was well described by a Dirichlet distribution with a common parameter. This implies a gamma distribution of aphid abundances in the field with few common and many rare species. 6. Predator (i.e. parasitoid) overlap graphs were constructed to assess the potential for indirect interactions between aphids. Mummy parasitoids were the most important group linking different aphids. A quantitative overlap diagram was developed to illustrate the potential strengths of indirect linkages. Common aphid species shared few strong, indirect links via primary parasitoids or hyperparasitoids, but could be strongly linked by mummy parasitoids. Symmetrical links were uncommon, and rare species were potentially strongly influenced by the presence of common aphids with which they shared parasitoids. 7. Ant-attended aphids were attacked by fewer species of primary parasitoids and hyperparasitoids than those species not attended by ants. Species of mummy parasitoids attack, on average, approximately twice the number of host species than species of either primary parasitoids or hyperparasitoids.","container-title":"Journal of Animal Ecology","DOI":"10.1046/j.1365-2656.1999.00288.x","ISSN":"1365-2656","issue":"2","language":"en","note":"_eprint: https://onlinelibrary.wiley.com/doi/pdf/10.1046/j.1365-2656.1999.00288.x","page":"346-370","source":"Wiley Online Library","title":"The structure of an aphid–parasitoid community","volume":"68","author":[{"family":"Muller","given":"C. B."},{"family":"Adriaanse","given":"I. C. T."},{"family":"Belshaw","given":"R."},{"family":"Godfray","given":"H. C. J."}],"issued":{"date-parts":[["1999"]]}}}],"schema":"https://github.com/citation-style-language/schema/raw/master/csl-citation.json"} </w:instrText>
      </w:r>
      <w:r w:rsidR="00533399">
        <w:rPr>
          <w:rFonts w:ascii="Times New Roman" w:hAnsi="Times New Roman" w:cs="Times New Roman"/>
          <w:sz w:val="24"/>
          <w:szCs w:val="24"/>
        </w:rPr>
        <w:fldChar w:fldCharType="separate"/>
      </w:r>
      <w:r w:rsidR="00533399" w:rsidRPr="00533399">
        <w:rPr>
          <w:rFonts w:ascii="Times New Roman" w:hAnsi="Times New Roman" w:cs="Times New Roman"/>
          <w:sz w:val="24"/>
          <w:szCs w:val="24"/>
        </w:rPr>
        <w:t xml:space="preserve">Muller </w:t>
      </w:r>
      <w:r w:rsidR="00533399" w:rsidRPr="00533399">
        <w:rPr>
          <w:rFonts w:ascii="Times New Roman" w:hAnsi="Times New Roman" w:cs="Times New Roman"/>
          <w:i/>
          <w:iCs/>
          <w:sz w:val="24"/>
          <w:szCs w:val="24"/>
        </w:rPr>
        <w:t>et al.</w:t>
      </w:r>
      <w:r w:rsidR="00533399" w:rsidRPr="00533399">
        <w:rPr>
          <w:rFonts w:ascii="Times New Roman" w:hAnsi="Times New Roman" w:cs="Times New Roman"/>
          <w:sz w:val="24"/>
          <w:szCs w:val="24"/>
        </w:rPr>
        <w:t xml:space="preserve"> </w:t>
      </w:r>
      <w:r w:rsidR="00533399">
        <w:rPr>
          <w:rFonts w:ascii="Times New Roman" w:hAnsi="Times New Roman" w:cs="Times New Roman"/>
          <w:sz w:val="24"/>
          <w:szCs w:val="24"/>
        </w:rPr>
        <w:t>(</w:t>
      </w:r>
      <w:r w:rsidR="00533399" w:rsidRPr="00533399">
        <w:rPr>
          <w:rFonts w:ascii="Times New Roman" w:hAnsi="Times New Roman" w:cs="Times New Roman"/>
          <w:sz w:val="24"/>
          <w:szCs w:val="24"/>
        </w:rPr>
        <w:t>1999)</w:t>
      </w:r>
      <w:r w:rsidR="00533399">
        <w:rPr>
          <w:rFonts w:ascii="Times New Roman" w:hAnsi="Times New Roman" w:cs="Times New Roman"/>
          <w:sz w:val="24"/>
          <w:szCs w:val="24"/>
        </w:rPr>
        <w:fldChar w:fldCharType="end"/>
      </w:r>
      <w:r w:rsidR="00533399">
        <w:rPr>
          <w:rFonts w:ascii="Times New Roman" w:hAnsi="Times New Roman" w:cs="Times New Roman"/>
          <w:sz w:val="24"/>
          <w:szCs w:val="24"/>
        </w:rPr>
        <w:t xml:space="preserve">. </w:t>
      </w:r>
      <w:r>
        <w:rPr>
          <w:rFonts w:ascii="Times New Roman" w:hAnsi="Times New Roman" w:cs="Times New Roman"/>
          <w:i/>
          <w:iCs/>
          <w:sz w:val="24"/>
          <w:szCs w:val="24"/>
        </w:rPr>
        <w:t>Influential</w:t>
      </w:r>
      <w:r>
        <w:rPr>
          <w:rFonts w:ascii="Times New Roman" w:hAnsi="Times New Roman" w:cs="Times New Roman"/>
          <w:sz w:val="24"/>
          <w:szCs w:val="24"/>
        </w:rPr>
        <w:t xml:space="preserve"> grasslands with high apparent influence contribute strongly to maintaining interactions across the landscape. </w:t>
      </w:r>
    </w:p>
    <w:p w14:paraId="15BDB7CC" w14:textId="77777777" w:rsidR="00ED3D4B" w:rsidRDefault="00B13086">
      <w:pPr>
        <w:pBdr>
          <w:top w:val="single" w:sz="4" w:space="1" w:color="000000"/>
          <w:left w:val="single" w:sz="4" w:space="4" w:color="000000"/>
          <w:bottom w:val="single" w:sz="4" w:space="1" w:color="000000"/>
          <w:right w:val="single" w:sz="4" w:space="4" w:color="000000"/>
        </w:pBdr>
        <w:spacing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t>Impairment</w:t>
      </w:r>
    </w:p>
    <w:p w14:paraId="2A40CF59" w14:textId="77777777" w:rsidR="00ED3D4B" w:rsidRDefault="00B13086">
      <w:pPr>
        <w:pBdr>
          <w:top w:val="single" w:sz="4" w:space="1" w:color="000000"/>
          <w:left w:val="single" w:sz="4" w:space="4" w:color="000000"/>
          <w:bottom w:val="single" w:sz="4" w:space="1" w:color="000000"/>
          <w:right w:val="single" w:sz="4" w:space="4" w:color="000000"/>
        </w:pBdr>
        <w:spacing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6) Grassland</w:t>
      </w:r>
      <w:r>
        <w:rPr>
          <w:rFonts w:ascii="Times New Roman" w:hAnsi="Times New Roman" w:cs="Times New Roman"/>
          <w:sz w:val="24"/>
          <w:szCs w:val="24"/>
        </w:rPr>
        <w:t xml:space="preserve"> </w:t>
      </w:r>
      <w:r>
        <w:rPr>
          <w:rFonts w:ascii="Times New Roman" w:hAnsi="Times New Roman" w:cs="Times New Roman"/>
          <w:i/>
          <w:iCs/>
          <w:sz w:val="24"/>
          <w:szCs w:val="24"/>
        </w:rPr>
        <w:t>closeness centrality</w:t>
      </w:r>
      <w:r>
        <w:rPr>
          <w:rFonts w:ascii="Times New Roman" w:hAnsi="Times New Roman" w:cs="Times New Roman"/>
          <w:sz w:val="24"/>
          <w:szCs w:val="24"/>
        </w:rPr>
        <w:t xml:space="preserve"> </w:t>
      </w:r>
      <w:r>
        <w:fldChar w:fldCharType="begin"/>
      </w:r>
      <w:r>
        <w:rPr>
          <w:rFonts w:ascii="Times New Roman" w:hAnsi="Times New Roman" w:cs="Times New Roman"/>
          <w:sz w:val="24"/>
          <w:szCs w:val="24"/>
        </w:rPr>
        <w:instrText>ADDIN ZOTERO_ITEM CSL_CITATION {"citationID":"8bqtcg3b","properties":{"formattedCitation":"(Freeman 1978)","plainCitation":"(Freeman 1978)","noteIndex":0},"citationItems":[{"id":4955,"uris":["http://zotero.org/users/11234172/items/VN54L2YG"],"itemData":{"id":4955,"type":"article-journal","abstract":"The intuitive background for measures of structural centrality in social networks is reviewed and existing measures are evaluated in terms of their consistency with intuitions and their interpretability. Three distinct intuitive conceptions of centrality are uncovered and existing measures are refined to embody these conceptions. Three measures are developed for each concept, one absolute and one relative measure of the centrality of positions in a network, and one reflecting the degree of centralization of the entire network. The implications of these measures for the experimental study of small groups is examined.","container-title":"Social Networks","DOI":"10.1016/0378-8733(78)90021-7","ISSN":"0378-8733","issue":"3","journalAbbreviation":"Social Networks","page":"215-239","source":"ScienceDirect","title":"Centrality in social networks conceptual clarification","volume":"1","author":[{"family":"Freeman","given":"Linton C."}],"issued":{"date-parts":[["1978",1,1]]}}}],"schema":"https://github.com/citation-style-language/schema/raw/master/csl-citation.json"}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(Freeman 1978)</w:t>
      </w:r>
      <w:r>
        <w:rPr>
          <w:rFonts w:ascii="Times New Roman" w:hAnsi="Times New Roman" w:cs="Times New Roman"/>
          <w:sz w:val="24"/>
          <w:szCs w:val="24"/>
        </w:rPr>
        <w:fldChar w:fldCharType="end"/>
      </w:r>
      <w:r>
        <w:rPr>
          <w:rFonts w:ascii="Times New Roman" w:hAnsi="Times New Roman" w:cs="Times New Roman"/>
          <w:sz w:val="24"/>
          <w:szCs w:val="24"/>
        </w:rPr>
        <w:t>: measures the number of steps needed to connect a grassland to all others in the meta-network through the interactions they share. It is calculated as the inverse of the summed web distances to every other grassland in the meta</w:t>
      </w:r>
      <w:r>
        <w:rPr>
          <w:rFonts w:ascii="Times New Roman" w:hAnsi="Times New Roman" w:cs="Times New Roman"/>
          <w:sz w:val="24"/>
          <w:szCs w:val="24"/>
        </w:rPr>
        <w:noBreakHyphen/>
        <w:t>network. Higher closeness values indicate that a grassland shares interactions with fewer sites, reflecting a loss of shared interactions and potential impairment of the meta</w:t>
      </w:r>
      <w:r>
        <w:rPr>
          <w:rFonts w:ascii="Times New Roman" w:hAnsi="Times New Roman" w:cs="Times New Roman"/>
          <w:sz w:val="24"/>
          <w:szCs w:val="24"/>
        </w:rPr>
        <w:noBreakHyphen/>
        <w:t>network.</w:t>
      </w:r>
    </w:p>
    <w:p w14:paraId="135F52B1" w14:textId="29C8D2F2" w:rsidR="00ED3D4B" w:rsidRDefault="00B1308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Moreover, the degree of ecological specialization can affect both the number of patches a species occurs in and the number of interactions it contributes to </w:t>
      </w:r>
      <w:r>
        <w:fldChar w:fldCharType="begin"/>
      </w:r>
      <w:r>
        <w:rPr>
          <w:rFonts w:ascii="Times New Roman" w:hAnsi="Times New Roman" w:cs="Times New Roman"/>
          <w:sz w:val="24"/>
          <w:szCs w:val="24"/>
        </w:rPr>
        <w:instrText>ADDIN ZOTERO_ITEM CSL_CITATION {"citationID":"MvfeDI3f","properties":{"formattedCitation":"(Libr\\uc0\\u225{}n-Embid {\\i{}et al.} 2021)","plainCitation":"(Librán-Embid et al. 2021)","noteIndex":0},"citationItems":[{"id":2293,"uris":["http://zotero.org/users/11234172/items/Q3QJE3PI"],"itemData":{"id":2293,"type":"article-journal","abstract":"To understand how plant–pollinator interactions respond to habitat fragmentation, we need novel approaches that can capture properties that emerge at broad scales, where multiple communities engage in metanetworks. Here we studied plant–pollinator interactions over 2 years on 29 calcareous grassland fragments selected along independent gradients of habitat size and surrounding landscape diversity of cover types. We associated network centrality of plant–pollinator interactions and grassland fragments with their ecological and landscape traits, respectively. Interactions involving habitat specialist plants and large-bodied pollinators were the most central, implying that species with these traits form the metanetwork core. Large fragments embedded in landscapes with high land cover diversity exhibited the highest centrality; however, small fragments harboured many unique interactions not found on larger fragments. Intensively managed landscapes have reached a point in which all remaining fragments matter, meaning that losing any further areas may vanish unique interactions with unknown consequences for ecosystem functioning.","container-title":"Ecology Letters","DOI":"10.1111/ele.13892","ISSN":"1461-0248","issue":"12","language":"en","license":"© 2021 The Authors. Ecology Letters published by John Wiley &amp; Sons Ltd.","note":"_eprint: https://onlinelibrary.wiley.com/doi/pdf/10.1111/ele.13892","page":"2700-2712","source":"Wiley Online Library","title":"A plant–pollinator metanetwork along a habitat fragmentation gradient","volume":"24","author":[{"family":"Librán-Embid","given":"Felipe"},{"family":"Grass","given":"Ingo"},{"family":"Emer","given":"Carine"},{"family":"Ganuza","given":"Cristina"},{"family":"Tscharntke","given":"Teja"}],"issued":{"date-parts":[["2021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(Librán-Embid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Thus, understanding how these specialization patterns relate to patch level meta-network metrics would reveal meta-network underlying mechanisms, facilitating insights for restoration planning. Generalist species are likely responsible for forming the majority of shared interactions across patches </w:t>
      </w:r>
      <w:r>
        <w:fldChar w:fldCharType="begin"/>
      </w:r>
      <w:r>
        <w:rPr>
          <w:rFonts w:ascii="Times New Roman" w:hAnsi="Times New Roman" w:cs="Times New Roman"/>
          <w:sz w:val="24"/>
          <w:szCs w:val="24"/>
        </w:rPr>
        <w:instrText>ADDIN ZOTERO_ITEM CSL_CITATION {"citationID":"MiJCSwQE","properties":{"formattedCitation":"(Resasco {\\i{}et al.} 2021)","plainCitation":"(Resasco et al. 2021)","noteIndex":0},"citationItems":[{"id":5022,"uris":["http://zotero.org/users/11234172/items/ZKYR7DUJ"],"itemData":{"id":5022,"type":"article-journal","abstract":"Generalist species are the linchpins of networks, as they are important for maintaining network structure and function. Previous studies have shown that interactions between generalists tend to occur consistently across years and sites. However, the link between temporal and spatial interaction persistence across scales remains unclear. To address this gap, we collected data on plant–pollinator interactions throughout the flowering period for 5 yr across six plots in a subalpine meadow in the Rocky Mountains. We found that interactions between generalists tended to persist more in time and space such that interactions near the network core were more frequently recorded across years, within seasons, and among plots. We posit that species' tolerance of environmental variation across time and space plays a key role in generalization by regulating spatiotemporal overlap with interaction partners. Our results imply a role of spatiotemporal environmental variation in organizing species interactions, marrying niche concepts that emphasize species environmental constraints and their community role.","container-title":"Ecology","DOI":"10.1002/ecy.3359","ISSN":"1939-9170","issue":"6","language":"en","license":"© 2021 by the Ecological Society of America","note":"_eprint: https://onlinelibrary.wiley.com/doi/pdf/10.1002/ecy.3359","page":"e03359","source":"Wiley Online Library","title":"Plant–pollinator interactions between generalists persist over time and space","volume":"102","author":[{"family":"Resasco","given":"Julian"},{"family":"Chacoff","given":"Natacha P."},{"family":"Vázquez","given":"Diego P."}],"issued":{"date-parts":[["2021"]]}}}],"schema":"https://github.com/citation-style-language/schema/raw/master/csl-citation.json"}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(Resasco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Such generalized widespread interactions may promote meta-network redundancy and therefore structural stability, representing key components at the metacommunity level </w:t>
      </w:r>
      <w:r>
        <w:fldChar w:fldCharType="begin"/>
      </w:r>
      <w:r>
        <w:rPr>
          <w:rFonts w:ascii="Times New Roman" w:hAnsi="Times New Roman" w:cs="Times New Roman"/>
          <w:sz w:val="24"/>
          <w:szCs w:val="24"/>
        </w:rPr>
        <w:instrText>ADDIN ZOTERO_ITEM CSL_CITATION {"citationID":"tNK1zRhU","properties":{"formattedCitation":"(Pocock {\\i{}et al.} 2012)","plainCitation":"(Pocock et al. 2012)","noteIndex":0},"citationItems":[{"id":4997,"uris":["http://zotero.org/users/11234172/items/ZMSG578A"],"itemData":{"id":4997,"type":"article-journal","abstract":"Understanding species’ interactions and the robustness of interaction networks to species loss is essential to understand the effects of species’ declines and extinctions. In most studies, different types of networks (such as food webs, parasitoid webs, seed dispersal networks, and pollination networks) have been studied separately. We sampled such multiple networks simultaneously in an agroecosystem. We show that the networks varied in their robustness; networks including pollinators appeared to be particularly fragile. We show that, overall, networks did not strongly covary in their robustness, which suggests that ecological restoration (for example, through agri-environment schemes) benefitting one functional group will not inevitably benefit others. Some individual plant species were disproportionately well linked to many other species. This type of information can be used in restoration management, because it identifies the plant taxa that can potentially lead to disproportionate gains in biodiversity.","container-title":"Science","DOI":"10.1126/science.1214915","issue":"6071","note":"publisher: American Association for the Advancement of Science","page":"973-977","source":"science.org (Atypon)","title":"The Robustness and Restoration of a Network of Ecological Networks","volume":"335","author":[{"family":"Pocock","given":"Michael J. O."},{"family":"Evans","given":"Darren M."},{"family":"Memmott","given":"Jane"}],"issued":{"date-parts":[["2012",2,24]]}}}],"schema":"https://github.com/citation-style-language/schema/raw/master/csl-citation.json"}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(Pocock </w:t>
      </w:r>
      <w:r>
        <w:rPr>
          <w:rFonts w:ascii="Times New Roman" w:hAnsi="Times New Roman" w:cs="Times New Roman"/>
          <w:i/>
          <w:iCs/>
          <w:sz w:val="24"/>
          <w:szCs w:val="24"/>
        </w:rPr>
        <w:t>et al.</w:t>
      </w:r>
      <w:r>
        <w:rPr>
          <w:rFonts w:ascii="Times New Roman" w:hAnsi="Times New Roman" w:cs="Times New Roman"/>
          <w:sz w:val="24"/>
          <w:szCs w:val="24"/>
        </w:rPr>
        <w:t xml:space="preserve"> 2012)</w:t>
      </w:r>
      <w:r>
        <w:rPr>
          <w:rFonts w:ascii="Times New Roman" w:hAnsi="Times New Roman" w:cs="Times New Roman"/>
          <w:sz w:val="24"/>
          <w:szCs w:val="24"/>
        </w:rPr>
        <w:fldChar w:fldCharType="end"/>
      </w:r>
      <w:r>
        <w:rPr>
          <w:rFonts w:ascii="Times New Roman" w:hAnsi="Times New Roman" w:cs="Times New Roman"/>
          <w:sz w:val="24"/>
          <w:szCs w:val="24"/>
        </w:rPr>
        <w:t xml:space="preserve">. However, restoring interactions involving </w:t>
      </w:r>
      <w:r>
        <w:rPr>
          <w:rFonts w:ascii="Times New Roman" w:hAnsi="Times New Roman" w:cs="Times New Roman"/>
          <w:i/>
          <w:iCs/>
          <w:sz w:val="24"/>
          <w:szCs w:val="24"/>
        </w:rPr>
        <w:t>habitat</w:t>
      </w:r>
      <w:r w:rsidR="007A6BEC">
        <w:rPr>
          <w:rFonts w:ascii="Times New Roman" w:hAnsi="Times New Roman" w:cs="Times New Roman"/>
          <w:i/>
          <w:iCs/>
          <w:sz w:val="24"/>
          <w:szCs w:val="24"/>
        </w:rPr>
        <w:t>-</w:t>
      </w:r>
      <w:r>
        <w:rPr>
          <w:rFonts w:ascii="Times New Roman" w:hAnsi="Times New Roman" w:cs="Times New Roman"/>
          <w:i/>
          <w:iCs/>
          <w:sz w:val="24"/>
          <w:szCs w:val="24"/>
        </w:rPr>
        <w:t>specialists</w:t>
      </w:r>
      <w:r>
        <w:rPr>
          <w:rFonts w:ascii="Times New Roman" w:hAnsi="Times New Roman" w:cs="Times New Roman"/>
          <w:sz w:val="24"/>
          <w:szCs w:val="24"/>
        </w:rPr>
        <w:t xml:space="preserve"> (narrow habitat niche) and </w:t>
      </w:r>
      <w:r>
        <w:rPr>
          <w:rFonts w:ascii="Times New Roman" w:hAnsi="Times New Roman" w:cs="Times New Roman"/>
          <w:i/>
          <w:iCs/>
          <w:sz w:val="24"/>
          <w:szCs w:val="24"/>
        </w:rPr>
        <w:t>interaction</w:t>
      </w:r>
      <w:r w:rsidR="007A6BEC">
        <w:rPr>
          <w:rFonts w:ascii="Times New Roman" w:hAnsi="Times New Roman" w:cs="Times New Roman"/>
          <w:i/>
          <w:iCs/>
          <w:sz w:val="24"/>
          <w:szCs w:val="24"/>
        </w:rPr>
        <w:t>-</w:t>
      </w:r>
      <w:r>
        <w:rPr>
          <w:rFonts w:ascii="Times New Roman" w:hAnsi="Times New Roman" w:cs="Times New Roman"/>
          <w:i/>
          <w:iCs/>
          <w:sz w:val="24"/>
          <w:szCs w:val="24"/>
        </w:rPr>
        <w:t>specialists</w:t>
      </w:r>
      <w:r>
        <w:rPr>
          <w:rFonts w:ascii="Times New Roman" w:hAnsi="Times New Roman" w:cs="Times New Roman"/>
          <w:sz w:val="24"/>
          <w:szCs w:val="24"/>
        </w:rPr>
        <w:t xml:space="preserve"> (narrow mutualistic niche) is also important to guarantee functional complementarity at local and landscape level </w:t>
      </w:r>
      <w:r>
        <w:fldChar w:fldCharType="begin"/>
      </w:r>
      <w:r>
        <w:rPr>
          <w:rFonts w:ascii="Times New Roman" w:hAnsi="Times New Roman" w:cs="Times New Roman"/>
          <w:sz w:val="24"/>
          <w:szCs w:val="24"/>
        </w:rPr>
        <w:instrText>ADDIN ZOTERO_ITEM CSL_CITATION {"citationID":"Q3jp931G","properties":{"formattedCitation":"(Dehling {\\i{}et al.} 2021)","plainCitation":"(Dehling et al. 2021)","noteIndex":0},"citationItems":[{"id":4996,"uris":["http://zotero.org/users/11234172/items/293QWFA3"],"itemData":{"id":4996,"type":"article-journal","abstract":"Species differ in their resource use and their interactions with other species and, consequently, they fulfil different functional roles in ecological processes. Species with specialized functional roles (specialists) are considered important for communities because they often interact with species with which few other species interact, thereby contributing complementary functional roles to ecological processes. However, the contribution of specialists could be low if they only interact with a small range of interaction partners. In contrast, species with unspecialized functional roles (generalists) often do not fulfil complementary roles but their contribution to ecological processes could be high because they interact with a large range of species. To investigate the importance of the functional roles of specialists versus generalists, we tested the relationship between species' degree of specialization and their contribution to functional-role diversity for frugivorous birds in Andean seed-dispersal networks. We used two measures for the specialization of birds—one based on the size, and one based on the position of their interaction niche—and measured their effect on the birds' contribution to functional-role diversity and their functional complementarity, a measure of how much a species' functional role is complementary to those of the other species. In all networks, there were similar log-normal distributions of species' contributions to functional-role diversity and functional complementarity. Contribution to functional-role diversity and functional complementarity increased with both increasing niche-position specialization and increasing niche size, indicating that the composition of functional roles in the networks was determined by an interplay between specialization and generalization. There was a negative interaction between niche-position specialization and niche size in both models, which showed that the positive effect of niche-position specialization on functional-role diversity and functional complementarity was stronger for species with a small niche size, and vice versa. Our results show that there is a continuum from specialized to generalized functional roles in species communities, and that both specialists and generalists fulfil important functional roles in ecological processes. Combining interaction networks with functional traits, as exemplified in this study, provides insight into the importance of an interplay of redundancy and complementarity in species' functional roles for ecosystem functioning. A free Plain-Language Summary can be found within the Supporting Information of this article.","container-title":"Functional Ecology","DOI":"10.1111/1365-2435.13815","ISSN":"1365-2435","issue":"8","language":"en","license":"© 2021 British Ecological Society","note":"_eprint: https://onlinelibrary.wiley.com/doi/pdf/10.1111/1365-2435.13815","page":"1810-1821","source":"Wiley Online Library","title":"Specialists and generalists fulfil important and complementary functional roles in ecological processes","volume":"35","author":[{"family":"Dehling","given":"D. Matthias"},{"family":"Bender","given":"Irene M. A."},{"family":"Blendinger","given":"Pedro G."},{"family":"Böhning-Gaese","given":"Katrin"},{"family":"Muñoz","given":"Marcia C."},{"family":"Neuschulz","given":"Eike L."},{"family":"Quitián","given":"Marta"},{"family":"Saavedra","given":"Francisco"},{"family":"Santillán","given":"Vinicio"},{"family":"Schleuning","given":"Matthias"},{"family":"Stouffer","given":"Daniel B."}],"issued":{"date-parts":[["2021"]]}}}],"schema":"https://github.com/citation-style-language/schema/raw/master/csl-citation.json"}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(Dehling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F542C">
        <w:rPr>
          <w:rFonts w:ascii="Times New Roman" w:hAnsi="Times New Roman" w:cs="Times New Roman"/>
          <w:sz w:val="24"/>
          <w:szCs w:val="24"/>
        </w:rPr>
        <w:t>These two groups of specialized species (habitat-specialists and interaction-specialists) may be particularly correlated to i</w:t>
      </w:r>
      <w:r w:rsidR="00B907BC">
        <w:rPr>
          <w:rFonts w:ascii="Times New Roman" w:hAnsi="Times New Roman" w:cs="Times New Roman"/>
          <w:sz w:val="24"/>
          <w:szCs w:val="24"/>
        </w:rPr>
        <w:t>nteraction richness and single-site interactions</w:t>
      </w:r>
      <w:r>
        <w:rPr>
          <w:rFonts w:ascii="Times New Roman" w:hAnsi="Times New Roman" w:cs="Times New Roman"/>
          <w:sz w:val="24"/>
          <w:szCs w:val="24"/>
        </w:rPr>
        <w:t>. Thus, a better understanding of how habitat</w:t>
      </w:r>
      <w:r w:rsidR="00013BE8">
        <w:rPr>
          <w:rFonts w:ascii="Times New Roman" w:hAnsi="Times New Roman" w:cs="Times New Roman"/>
          <w:sz w:val="24"/>
          <w:szCs w:val="24"/>
        </w:rPr>
        <w:t>-</w:t>
      </w:r>
      <w:r>
        <w:rPr>
          <w:rFonts w:ascii="Times New Roman" w:hAnsi="Times New Roman" w:cs="Times New Roman"/>
          <w:sz w:val="24"/>
          <w:szCs w:val="24"/>
        </w:rPr>
        <w:t xml:space="preserve"> and interaction</w:t>
      </w:r>
      <w:r w:rsidR="00013BE8">
        <w:rPr>
          <w:rFonts w:ascii="Times New Roman" w:hAnsi="Times New Roman" w:cs="Times New Roman"/>
          <w:sz w:val="24"/>
          <w:szCs w:val="24"/>
        </w:rPr>
        <w:t>-</w:t>
      </w:r>
      <w:r>
        <w:rPr>
          <w:rFonts w:ascii="Times New Roman" w:hAnsi="Times New Roman" w:cs="Times New Roman"/>
          <w:sz w:val="24"/>
          <w:szCs w:val="24"/>
        </w:rPr>
        <w:t>specialist species contribute to interactions across patches is essential for conservation and restoration strategies.</w:t>
      </w:r>
    </w:p>
    <w:p w14:paraId="4AF3FD1C" w14:textId="5A4655CD" w:rsidR="00ED3D4B" w:rsidRDefault="00B1308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Calcareous grasslands in Europe offer a suitable study system for meta-networks, as they have become rare and fragmented within a matrix of intensively managed agricultural landscapes </w:t>
      </w:r>
      <w:r>
        <w:fldChar w:fldCharType="begin"/>
      </w:r>
      <w:r>
        <w:rPr>
          <w:rFonts w:ascii="Times New Roman" w:hAnsi="Times New Roman" w:cs="Times New Roman"/>
          <w:sz w:val="24"/>
          <w:szCs w:val="24"/>
        </w:rPr>
        <w:instrText>ADDIN ZOTERO_ITEM CSL_CITATION {"citationID":"mZuza4oT","properties":{"formattedCitation":"(Diekmann {\\i{}et al.} 2014; Loos {\\i{}et al.} 2021)","plainCitation":"(Diekmann et al. 2014; Loos et al. 2021)","noteIndex":0},"citationItems":[{"id":4981,"uris":["http://zotero.org/users/11234172/items/GTSLLHIN"],"itemData":{"id":4981,"type":"article-journal","abstract":"We aimed to answer the question of whether the species richness and composition of calcareous grasslands in North-western Germany had changed over the last 70years as a result of atmospheric nitrogen (N) deposition. In total, 1186 plots of Festuco-Brometea (alliance Bromion erecti) grasslands from the sub-oceanic regions of the country were compiled (1061 plots from literature sources spanning a time period from 1936 to 1996, 125 new plots from 2008). Environmental descriptors recorded for each plot included geographic coordinates, altitude, heat index (combining slope and aspect), mean Ellenberg indicator values for light, soil moisture, soil pH and soil N, and cumulative N deposition (the latter being highly positively correlated with the year of sampling). In a Detrended Correspondence Analysis, the sample plot scores along axis one were highly correlated with the mean Ellenberg N-values, those along axis two were significantly affected by the year of sampling. In a general linear model, species richness of vascular plants showed a markedly hump-shaped relationship with mean Ellenberg N-value, whereas it was weakly affected by year (cumulative N load). Species with a significant negative trend over time were more often (than expected by chance) habitat specialists of dry grasslands, small, light-demanding and winter-green or evergreen with smaller seeds and scleromorphic leaves. In contrast to what has been found for acidic grasslands, N deposition in calcareous grasslands did not result in a decline in species richness, most likely because calcareous grasslands are water- and phosphorus-limited, and are well-buffered in terms of soil pH. To prevent a further change in species composition towards more mesophytic communities, grassland management by the site managers needs to be intensified.","container-title":"Biological Conservation","DOI":"10.1016/j.biocon.2014.02.038","ISSN":"0006-3207","journalAbbreviation":"Biological Conservation","page":"170-179","source":"ScienceDirect","title":"Long-term changes in calcareous grassland vegetation in North-western Germany – No decline in species richness, but a shift in species composition","volume":"172","author":[{"family":"Diekmann","given":"Martin"},{"family":"Jandt","given":"Ute"},{"family":"Alard","given":"Didier"},{"family":"Bleeker","given":"Albert"},{"family":"Corcket","given":"Emmanuel"},{"family":"Gowing","given":"David J. G."},{"family":"Stevens","given":"Carly J."},{"family":"Duprè","given":"Cecilia"}],"issued":{"date-parts":[["2014",4,1]]}}},{"id":2253,"uris":["http://zotero.org/users/11234172/items/TWL26HZ6"],"itemData":{"id":2253,"type":"article-journal","abstract":"Across Europe, calcareous grasslands become increasingly fragmented and their quality deteriorates through abandonment and land use intensification, both affecting biodiversity. Here, we investigated local and landscape effects on diversity patterns of several taxonomic groups in a landscape of highly fragmented calcareous grassland remnants. We surveyed 31 grassland fragments near Göttingen, Germany, in spring and summer 2017 for vascular plants, butterflies and birds, with sampling effort adapted to fragment area. Through regression modelling, we tested relationships between species richness and fragment size (from 314 to 51,395 m2), successional stage, habitat connectivity and the per cent cover of arable land in the landscape at several radii. We detected 283 plant species, 53 butterfly species and 70 bird species. Of these, 59 plant species, 19 butterfly species and 9 bird species were grassland specialists. Larger fragments supported twice the species richness of plants than small ones, and hosted more species of butterflies, but not of birds. Larger grassland fragments contained more grassland specialist plants, but not butterfly or bird specialists. Increasing amounts of arable land in the landscape from 20 to 90% was related to the loss of a third of species of plants, and less so, of butterflies, but not of birds. Per cent cover of arable land negatively correlated to richness of grassland specialist plants and butterflies, but positively to grassland specialist birds. We found no effect by successional stages and habitat connectivity. Our multi-taxa approach highlights the need for conservation management at the local scale, complemented by measures at the landscape scale.","container-title":"Biodiversity and Conservation","DOI":"10.1007/s10531-021-02201-y","ISSN":"1572-9710","issue":"8","journalAbbreviation":"Biodivers Conserv","language":"en","page":"2415-2432","source":"Springer Link","title":"Local and landscape responses of biodiversity in calcareous grasslands","volume":"30","author":[{"family":"Loos","given":"Jacqueline"},{"family":"Krauss","given":"Jochen"},{"family":"Lyons","given":"Ashley"},{"family":"Föst","given":"Stephanie"},{"family":"Ohlendorf","given":"Constanze"},{"family":"Racky","given":"Severin"},{"family":"Röder","given":"Marina"},{"family":"Hudel","given":"Lennart"},{"family":"Herfert","given":"Volker"},{"family":"Tscharntke","given":"Teja"}],"issued":{"date-parts":[["2021",7,1]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(Diekmann </w:t>
      </w:r>
      <w:r>
        <w:rPr>
          <w:rFonts w:ascii="Times New Roman" w:hAnsi="Times New Roman" w:cs="Times New Roman"/>
          <w:i/>
          <w:iCs/>
          <w:sz w:val="24"/>
          <w:szCs w:val="24"/>
        </w:rPr>
        <w:t>et al.</w:t>
      </w:r>
      <w:r>
        <w:rPr>
          <w:rFonts w:ascii="Times New Roman" w:hAnsi="Times New Roman" w:cs="Times New Roman"/>
          <w:sz w:val="24"/>
          <w:szCs w:val="24"/>
        </w:rPr>
        <w:t xml:space="preserve"> 2014; Loos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Recognized as European biodiversity hotspots, they support an exceptionally rich plant community with its high floral diversity sustaining a wide array </w:t>
      </w:r>
      <w:r>
        <w:rPr>
          <w:rFonts w:ascii="Times New Roman" w:hAnsi="Times New Roman" w:cs="Times New Roman"/>
          <w:sz w:val="24"/>
          <w:szCs w:val="24"/>
        </w:rPr>
        <w:lastRenderedPageBreak/>
        <w:t>of pollinators, including habitat</w:t>
      </w:r>
      <w:r w:rsidR="00186F21">
        <w:rPr>
          <w:rFonts w:ascii="Times New Roman" w:hAnsi="Times New Roman" w:cs="Times New Roman"/>
          <w:sz w:val="24"/>
          <w:szCs w:val="24"/>
        </w:rPr>
        <w:t>-</w:t>
      </w:r>
      <w:r>
        <w:rPr>
          <w:rFonts w:ascii="Times New Roman" w:hAnsi="Times New Roman" w:cs="Times New Roman"/>
          <w:sz w:val="24"/>
          <w:szCs w:val="24"/>
        </w:rPr>
        <w:t xml:space="preserve"> and interaction</w:t>
      </w:r>
      <w:r w:rsidR="00186F21">
        <w:rPr>
          <w:rFonts w:ascii="Times New Roman" w:hAnsi="Times New Roman" w:cs="Times New Roman"/>
          <w:sz w:val="24"/>
          <w:szCs w:val="24"/>
        </w:rPr>
        <w:t>-</w:t>
      </w:r>
      <w:r>
        <w:rPr>
          <w:rFonts w:ascii="Times New Roman" w:hAnsi="Times New Roman" w:cs="Times New Roman"/>
          <w:sz w:val="24"/>
          <w:szCs w:val="24"/>
        </w:rPr>
        <w:t xml:space="preserve">specialists </w:t>
      </w:r>
      <w:r>
        <w:fldChar w:fldCharType="begin"/>
      </w:r>
      <w:r>
        <w:rPr>
          <w:rFonts w:ascii="Times New Roman" w:hAnsi="Times New Roman" w:cs="Times New Roman"/>
          <w:sz w:val="24"/>
          <w:szCs w:val="24"/>
        </w:rPr>
        <w:instrText>ADDIN ZOTERO_ITEM CSL_CITATION {"citationID":"DtoKHDvS","properties":{"formattedCitation":"(Habel {\\i{}et al.} 2013)","plainCitation":"(Habel et al. 2013)","noteIndex":0},"citationItems":[{"id":4982,"uris":["http://zotero.org/users/11234172/items/9B5WXY7G"],"itemData":{"id":4982,"type":"article-journal","abstract":"Biodiversity is not homogenously distributed over the globe, and ecosystems differ strongly in the number of species they provide. With this special issue we highlight the ecology and endangerment of one of the most diverse ecosystem of Europe: the European grassland ecosystems. The selected 16 contributions describe interactions from below-ground to the atmosphere and focus on (1) effects of abiotic and biotic on species diversity, (2) the impact of various factors along spatial and temporal gradients, (3) the relevance of falling abandoned and eutrophication—including countervailing management strategies like encroachment; and (4) intraspecific effects based on physiology, genetics and intraspecific plasticity. The contributions cover fungi, plants, and invertebrates and highlight effects taking place at the level of ecosystem, species community, species, populations, and also within individuals (physiology and genetics).","container-title":"Biodiversity and Conservation","DOI":"10.1007/s10531-013-0537-x","ISSN":"1572-9710","issue":"10","journalAbbreviation":"Biodivers Conserv","language":"en","page":"2131-2138","source":"Springer Link","title":"European grassland ecosystems: threatened hotspots of biodiversity","title-short":"European grassland ecosystems","volume":"22","author":[{"family":"Habel","given":"Jan Christian"},{"family":"Dengler","given":"Jürgen"},{"family":"Janišová","given":"Monika"},{"family":"Török","given":"Péter"},{"family":"Wellstein","given":"Camilla"},{"family":"Wiezik","given":"Michal"}],"issued":{"date-parts":[["2013",9,1]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kern w:val="0"/>
          <w:sz w:val="24"/>
        </w:rPr>
        <w:t xml:space="preserve">(Habel </w:t>
      </w:r>
      <w:r>
        <w:rPr>
          <w:rFonts w:ascii="Times New Roman" w:hAnsi="Times New Roman" w:cs="Times New Roman"/>
          <w:i/>
          <w:iCs/>
          <w:kern w:val="0"/>
          <w:sz w:val="24"/>
        </w:rPr>
        <w:t>et al.</w:t>
      </w:r>
      <w:r>
        <w:rPr>
          <w:rFonts w:ascii="Times New Roman" w:hAnsi="Times New Roman" w:cs="Times New Roman"/>
          <w:kern w:val="0"/>
          <w:sz w:val="24"/>
        </w:rPr>
        <w:t xml:space="preserve"> 2013)</w:t>
      </w:r>
      <w:r>
        <w:rPr>
          <w:rFonts w:ascii="Times New Roman" w:hAnsi="Times New Roman" w:cs="Times New Roman"/>
          <w:sz w:val="24"/>
          <w:szCs w:val="24"/>
        </w:rPr>
        <w:fldChar w:fldCharType="end"/>
      </w:r>
      <w:r>
        <w:rPr>
          <w:rFonts w:ascii="Times New Roman" w:hAnsi="Times New Roman" w:cs="Times New Roman"/>
          <w:sz w:val="24"/>
          <w:szCs w:val="24"/>
        </w:rPr>
        <w:t>. These grasslands face serious conservation threats from both agricultural intensification and land</w:t>
      </w:r>
      <w:r>
        <w:rPr>
          <w:rFonts w:ascii="Times New Roman" w:hAnsi="Times New Roman" w:cs="Times New Roman"/>
          <w:sz w:val="24"/>
          <w:szCs w:val="24"/>
        </w:rPr>
        <w:noBreakHyphen/>
        <w:t xml:space="preserve">use abandonment </w:t>
      </w:r>
      <w:r w:rsidR="00533399">
        <w:rPr>
          <w:rFonts w:ascii="Times New Roman" w:hAnsi="Times New Roman" w:cs="Times New Roman"/>
          <w:sz w:val="24"/>
          <w:szCs w:val="24"/>
        </w:rPr>
        <w:fldChar w:fldCharType="begin"/>
      </w:r>
      <w:r w:rsidR="00533399">
        <w:rPr>
          <w:rFonts w:ascii="Times New Roman" w:hAnsi="Times New Roman" w:cs="Times New Roman"/>
          <w:sz w:val="24"/>
          <w:szCs w:val="24"/>
        </w:rPr>
        <w:instrText xml:space="preserve"> ADDIN ZOTERO_ITEM CSL_CITATION {"citationID":"LPniooy7","properties":{"formattedCitation":"(Gorris {\\i{}et al.} 2025)","plainCitation":"(Gorris et al. 2025)","noteIndex":0},"citationItems":[{"id":5889,"uris":["http://zotero.org/users/11234172/items/ZHDELN6N"],"itemData":{"id":5889,"type":"article-journal","abstract":"Semi-natural grasslands result from traditional agriculture and are among the most species-rich ecosystems in Europe. These grasslands were once widespread across Europe, but due to changing agricultural practices, only small remnants have remained until present day. Large-scale efforts to preserve and restore these valuable ecosystems encompass the continuation or reintroduction of extensive instead of intensive farming practices. Based on empirical insights from three regions in Estonia, Germany and Spain, we aim to highlight Profitability, Landscape-scale Trade-off and Lock-in Effects, Policy Fit &amp; Interplay, Changing Rural Societies and Climate Change as being five common key challenges making such efforts difficult. We suggest three general pathways to leverage changes: A) emphasize a social-ecological perspective at the landscape scale where both traditional and new framings of extensive farming practices are constructed in accordance with local contexts; B) work towards a wider ecosystem service perspective of semi-natural grasslands. This involves shifting the perspective on grasslands from being agricultural “wastelands” to not only acknowledge their biodiversity, but also their role as cornerstones of resilient agricultural landscapes; and C) embrace experimental learning and policy alignment at the regional scale to better embed extensive farming practices in European land use polices. Policies and administrative practices should be adjusted to account for vastly different conditions across and within regions, where extensive farming practices are sometimes integrated into large-scale agricultural enterprises, and sometimes carried out as a non-commercial side activity at a very small-scale.","container-title":"Biological Conservation","DOI":"10.1016/j.biocon.2025.111038","ISSN":"0006-3207","journalAbbreviation":"Biological Conservation","page":"111038","source":"ScienceDirect","title":"Social-ecological perspective on European semi-natural grassland conservation and restoration: Key challenges and future pathways","title-short":"Social-ecological perspective on European semi-natural grassland conservation and restoration","volume":"304","author":[{"family":"Gorris","given":"Philipp"},{"family":"Bodin","given":"Örjan"},{"family":"Giralt","given":"David"},{"family":"Hass","given":"Annika L."},{"family":"Reitalu","given":"Triin"},{"family":"Cabodevilla","given":"Xabier"},{"family":"Hannappel","given":"Ira"},{"family":"Helm","given":"Aveliina"},{"family":"Prangel","given":"Elisabeth"},{"family":"Westphal","given":"Catrin"}],"issued":{"date-parts":[["2025",4,1]]}}}],"schema":"https://github.com/citation-style-language/schema/raw/master/csl-citation.json"} </w:instrText>
      </w:r>
      <w:r w:rsidR="00533399">
        <w:rPr>
          <w:rFonts w:ascii="Times New Roman" w:hAnsi="Times New Roman" w:cs="Times New Roman"/>
          <w:sz w:val="24"/>
          <w:szCs w:val="24"/>
        </w:rPr>
        <w:fldChar w:fldCharType="separate"/>
      </w:r>
      <w:r w:rsidR="00533399" w:rsidRPr="00533399">
        <w:rPr>
          <w:rFonts w:ascii="Times New Roman" w:hAnsi="Times New Roman" w:cs="Times New Roman"/>
          <w:sz w:val="24"/>
          <w:szCs w:val="24"/>
        </w:rPr>
        <w:t xml:space="preserve">(Gorris </w:t>
      </w:r>
      <w:r w:rsidR="00533399" w:rsidRPr="00533399">
        <w:rPr>
          <w:rFonts w:ascii="Times New Roman" w:hAnsi="Times New Roman" w:cs="Times New Roman"/>
          <w:i/>
          <w:iCs/>
          <w:sz w:val="24"/>
          <w:szCs w:val="24"/>
        </w:rPr>
        <w:t>et al.</w:t>
      </w:r>
      <w:r w:rsidR="00533399" w:rsidRPr="00533399">
        <w:rPr>
          <w:rFonts w:ascii="Times New Roman" w:hAnsi="Times New Roman" w:cs="Times New Roman"/>
          <w:sz w:val="24"/>
          <w:szCs w:val="24"/>
        </w:rPr>
        <w:t xml:space="preserve"> 2025)</w:t>
      </w:r>
      <w:r w:rsidR="00533399">
        <w:rPr>
          <w:rFonts w:ascii="Times New Roman" w:hAnsi="Times New Roman" w:cs="Times New Roman"/>
          <w:sz w:val="24"/>
          <w:szCs w:val="24"/>
        </w:rPr>
        <w:fldChar w:fldCharType="end"/>
      </w:r>
      <w:r>
        <w:rPr>
          <w:rFonts w:ascii="Times New Roman" w:hAnsi="Times New Roman" w:cs="Times New Roman"/>
          <w:sz w:val="24"/>
          <w:szCs w:val="24"/>
        </w:rPr>
        <w:t xml:space="preserve">. In response to these pressures, calcareous grasslands have been targeted by the European Nature Restoration </w:t>
      </w:r>
      <w:r w:rsidR="008D3B19">
        <w:rPr>
          <w:rFonts w:ascii="Times New Roman" w:hAnsi="Times New Roman" w:cs="Times New Roman"/>
          <w:sz w:val="24"/>
          <w:szCs w:val="24"/>
        </w:rPr>
        <w:t>Regulation</w:t>
      </w:r>
      <w:r>
        <w:rPr>
          <w:rFonts w:ascii="Times New Roman" w:hAnsi="Times New Roman" w:cs="Times New Roman"/>
          <w:sz w:val="24"/>
          <w:szCs w:val="24"/>
        </w:rPr>
        <w:t>. Effective restoration and conservation of these ecosystems relies on re-establishing</w:t>
      </w:r>
      <w:r w:rsidR="00CB6D9F">
        <w:rPr>
          <w:rFonts w:ascii="Times New Roman" w:hAnsi="Times New Roman" w:cs="Times New Roman"/>
          <w:sz w:val="24"/>
          <w:szCs w:val="24"/>
        </w:rPr>
        <w:t xml:space="preserve"> or </w:t>
      </w:r>
      <w:r w:rsidR="00533399">
        <w:rPr>
          <w:rFonts w:ascii="Times New Roman" w:hAnsi="Times New Roman" w:cs="Times New Roman"/>
          <w:sz w:val="24"/>
          <w:szCs w:val="24"/>
        </w:rPr>
        <w:t>maintaining</w:t>
      </w:r>
      <w:r>
        <w:rPr>
          <w:rFonts w:ascii="Times New Roman" w:hAnsi="Times New Roman" w:cs="Times New Roman"/>
          <w:sz w:val="24"/>
          <w:szCs w:val="24"/>
        </w:rPr>
        <w:t xml:space="preserve"> moderate levels of management, such as grazing and mowing, which promote habitat quality and prevent succession </w:t>
      </w:r>
      <w:r>
        <w:fldChar w:fldCharType="begin"/>
      </w:r>
      <w:r>
        <w:rPr>
          <w:rFonts w:ascii="Times New Roman" w:hAnsi="Times New Roman" w:cs="Times New Roman"/>
          <w:sz w:val="24"/>
          <w:szCs w:val="24"/>
        </w:rPr>
        <w:instrText>ADDIN ZOTERO_ITEM CSL_CITATION {"citationID":"6bgM2ZJq","properties":{"formattedCitation":"(T\\uc0\\u228{}lle {\\i{}et al.} 2016)","plainCitation":"(Tälle et al. 2016)","dontUpdate":true,"noteIndex":0},"citationItems":[{"id":4980,"uris":["http://zotero.org/users/11234172/items/JXBL3MW9"],"itemData":{"id":4980,"type":"article-journal","abstract":"To maintain the high biodiversity of semi-natural grasslands, management by grazing or mowing is needed. Given the limited resources and few remaining areas, the best management method should be used. However, only a few studies comparing the effects of mowing and grazing on grassland biodiversity exists. Therefore, the goal of the present review was to extract as much data as possible from the literature and evaluate them using a meta-analysis approach. We searched scientific and grey literature for studies comparing the effects of grazing and annual mowing on outcomes relevant for biodiversity conservation. We identified 35 relevant studies on grazing and annual mowing that provided data suitable for the meta-analysis. We found that grazing generally had a more positive effect on the conservation value of semi-natural grasslands compared to mowing, but effect sizes were generally small to moderate for most contrasts. Furthermore, effects varied across some grassland characteristics e.g. for different grassland types, with grazing and mowing having a similar effect or mowing having a more positive effect in certain cases. Our results suggest, that in most cases grazing should be the preferred management method when managing for grassland conservation.","container-title":"Agriculture, Ecosystems &amp; Environment","DOI":"10.1016/j.agee.2016.02.008","ISSN":"0167-8809","journalAbbreviation":"Agriculture, Ecosystems &amp; Environment","page":"200-212","source":"ScienceDirect","title":"Grazing vs. mowing: A meta-analysis of biodiversity benefits for grassland management","title-short":"Grazing vs. mowing","volume":"222","author":[{"family":"Tälle","given":"Malin"},{"family":"Deák","given":"Balázs"},{"family":"Poschlod","given":"Peter"},{"family":"Valkó","given":"Orsolya"},{"family":"Westerberg","given":"Lars"},{"family":"Milberg","given":"Per"}],"issued":{"date-parts":[["2016",4,15]]}}}],"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kern w:val="0"/>
          <w:sz w:val="24"/>
        </w:rPr>
        <w:t xml:space="preserve">(Tälle </w:t>
      </w:r>
      <w:r>
        <w:rPr>
          <w:rFonts w:ascii="Times New Roman" w:hAnsi="Times New Roman" w:cs="Times New Roman"/>
          <w:i/>
          <w:iCs/>
          <w:kern w:val="0"/>
          <w:sz w:val="24"/>
        </w:rPr>
        <w:t>et al.</w:t>
      </w:r>
      <w:r>
        <w:rPr>
          <w:rFonts w:ascii="Times New Roman" w:hAnsi="Times New Roman" w:cs="Times New Roman"/>
          <w:kern w:val="0"/>
          <w:sz w:val="24"/>
        </w:rPr>
        <w:t xml:space="preserve"> 2016; Wang </w:t>
      </w:r>
      <w:r>
        <w:rPr>
          <w:rFonts w:ascii="Times New Roman" w:hAnsi="Times New Roman" w:cs="Times New Roman"/>
          <w:i/>
          <w:iCs/>
          <w:kern w:val="0"/>
          <w:sz w:val="24"/>
        </w:rPr>
        <w:t>et al.</w:t>
      </w:r>
      <w:r>
        <w:rPr>
          <w:rFonts w:ascii="Times New Roman" w:hAnsi="Times New Roman" w:cs="Times New Roman"/>
          <w:kern w:val="0"/>
          <w:sz w:val="24"/>
        </w:rPr>
        <w:t xml:space="preserve"> 2019)</w:t>
      </w:r>
      <w:r>
        <w:rPr>
          <w:rFonts w:ascii="Times New Roman" w:hAnsi="Times New Roman" w:cs="Times New Roman"/>
          <w:sz w:val="24"/>
          <w:szCs w:val="24"/>
        </w:rPr>
        <w:fldChar w:fldCharType="end"/>
      </w:r>
      <w:r>
        <w:rPr>
          <w:rFonts w:ascii="Times New Roman" w:hAnsi="Times New Roman" w:cs="Times New Roman"/>
          <w:sz w:val="24"/>
          <w:szCs w:val="24"/>
        </w:rPr>
        <w:t>.</w:t>
      </w:r>
      <w:r>
        <w:t xml:space="preserve"> </w:t>
      </w:r>
      <w:r>
        <w:rPr>
          <w:rFonts w:ascii="Times New Roman" w:hAnsi="Times New Roman" w:cs="Times New Roman"/>
          <w:sz w:val="24"/>
          <w:szCs w:val="24"/>
        </w:rPr>
        <w:t xml:space="preserve">However, successful restoration also depends on implementing landscape-scale strategies to address fragmentation and isolation effects </w:t>
      </w:r>
      <w:r>
        <w:fldChar w:fldCharType="begin"/>
      </w:r>
      <w:r>
        <w:rPr>
          <w:rFonts w:ascii="Times New Roman" w:hAnsi="Times New Roman" w:cs="Times New Roman"/>
          <w:sz w:val="24"/>
          <w:szCs w:val="24"/>
        </w:rPr>
        <w:instrText>ADDIN ZOTERO_ITEM CSL_CITATION {"citationID":"4JQ3Fugp","properties":{"formattedCitation":"(Kirsch {\\i{}et al.} 2025; Shipley {\\i{}et al.} 2024)","plainCitation":"(Kirsch et al. 2025; Shipley et al. 2024)","noteIndex":0},"citationItems":[{"id":5657,"uris":["http://zotero.org/users/11234172/items/VB7TTUHT"],"itemData":{"id":5657,"type":"article-journal","abstract":"Abandoned and even active limestone quarries (excavation sites) can represent important secondary habitats for many species, including wild bees, associated with dry grasslands, which are threatened biodiversity hotspots in Europe. However, is not well understood how interactions between local habitat and landscape characteristics influence the value of limestone quarries for wild bees and how this could guide conservation schemes. We studied how wild bee communities in limestone quarries are affected by landscape variables (connectivity to neighbouring dry grasslands, landscape diversity), local quarry characteristics (area, age, woody vegetation cover, flowering plant species) and their interactions. We surveyed bee communities during 208 transects in 19 quarries in southern Lower Saxony, Germany. In total, we recorded 114 bee species (2360 individuals), including 35 endangered species. High flowering plant species richness positively affected bee abundance and richness. Large quarry area was important for determining the presence of endangered bee species. High levels of woody vegetation cover had a negative effect on bee abundance and richness. Bee abundance and richness can increase with quarry age, but only at sites with moderate woody vegetation cover. We found potentially positive interactions between quarry age and landscape diversity and/or habitat connectivity to neighbouring dry grasslands. In particular, high habitat connectivity ensured stable richness of endangered species in old quarries. Synthesis and applications. Observed negative effects of high woody vegetation cover on bee communities highlight the importance of local management to reduce shrub encroachment and reset successional processes in limestone quarries. Local management is particularly important in old quarries of great ecological value, where the adverse impact of high woody vegetation cover on wild bees appears to be most severe. Large and old quarries with high connectivity to neighbouring dry grasslands are especially valuable for endangered bee species. Therefore, landscape-scale restoration and conservation of dry grasslands is the most promising approach to promote endangered bee species through enhanced habitat connectivity.","container-title":"Journal of Applied Ecology","DOI":"10.1111/1365-2664.14820","ISSN":"1365-2664","issue":"1","language":"en","license":"© 2024 The Author(s). Journal of Applied Ecology published by John Wiley &amp; Sons Ltd on behalf of British Ecological Society.","note":"_eprint: https://besjournals.onlinelibrary.wiley.com/doi/pdf/10.1111/1365-2664.14820","page":"64-79","source":"Wiley Online Library","title":"Landscape diversity, habitat connectivity, age and size determine the conservation value of limestone quarries for diverse wild bee communities","volume":"62","author":[{"family":"Kirsch","given":"Felix"},{"family":"Hass","given":"Annika"},{"family":"Alfert","given":"Thomas"},{"family":"Westphal","given":"Catrin"}],"issued":{"date-parts":[["2025"]]}}},{"id":4995,"uris":["http://zotero.org/users/11234172/items/Q2AI8MS9"],"itemData":{"id":4995,"type":"article-journal","container-title":"Current Biology","DOI":"10.1016/j.cub.2024.06.062","ISSN":"09609822","issue":"16","journalAbbreviation":"Current Biology","language":"en","page":"R753-R761","source":"DOI.org (Crossref)","title":"Agricultural practices and biodiversity: Conservation policies for semi-natural grasslands in Europe","title-short":"Agricultural practices and biodiversity","volume":"34","author":[{"family":"Shipley","given":"J. Ryan"},{"family":"Frei","given":"Esther R."},{"family":"Bergamini","given":"Ariel"},{"family":"Boch","given":"Steffen"},{"family":"Schulz","given":"Tobias"},{"family":"Ginzler","given":"Christian"},{"family":"Barandun","given":"Marco"},{"family":"Bebi","given":"Peter"},{"family":"Bolliger","given":"Janine"},{"family":"Bollmann","given":"Kurt"},{"family":"Delpouve","given":"Noémie"},{"family":"Gossner","given":"Martin M."},{"family":"Graham","given":"Catherine"},{"family":"Krumm","given":"Frank"},{"family":"Marty","given":"Mauro"},{"family":"Pichon","given":"Noémie"},{"family":"Rigling","given":"Andreas"},{"family":"Rixen","given":"Christian"}],"issued":{"date-parts":[["2024",8]]}}}],"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(Kirsch </w:t>
      </w:r>
      <w:r>
        <w:rPr>
          <w:rFonts w:ascii="Times New Roman" w:hAnsi="Times New Roman" w:cs="Times New Roman"/>
          <w:i/>
          <w:iCs/>
          <w:sz w:val="24"/>
          <w:szCs w:val="24"/>
        </w:rPr>
        <w:t>et al.</w:t>
      </w:r>
      <w:r>
        <w:rPr>
          <w:rFonts w:ascii="Times New Roman" w:hAnsi="Times New Roman" w:cs="Times New Roman"/>
          <w:sz w:val="24"/>
          <w:szCs w:val="24"/>
        </w:rPr>
        <w:t xml:space="preserve"> 2025; Shipley </w:t>
      </w:r>
      <w:r>
        <w:rPr>
          <w:rFonts w:ascii="Times New Roman" w:hAnsi="Times New Roman" w:cs="Times New Roman"/>
          <w:i/>
          <w:iCs/>
          <w:sz w:val="24"/>
          <w:szCs w:val="24"/>
        </w:rPr>
        <w:t>et al.</w:t>
      </w:r>
      <w:r>
        <w:rPr>
          <w:rFonts w:ascii="Times New Roman" w:hAnsi="Times New Roman" w:cs="Times New Roman"/>
          <w:sz w:val="24"/>
          <w:szCs w:val="24"/>
        </w:rPr>
        <w:t xml:space="preserve"> 2024)</w:t>
      </w:r>
      <w:r>
        <w:rPr>
          <w:rFonts w:ascii="Times New Roman" w:hAnsi="Times New Roman" w:cs="Times New Roman"/>
          <w:sz w:val="24"/>
          <w:szCs w:val="24"/>
        </w:rPr>
        <w:fldChar w:fldCharType="end"/>
      </w:r>
      <w:r>
        <w:rPr>
          <w:rFonts w:ascii="Times New Roman" w:hAnsi="Times New Roman" w:cs="Times New Roman"/>
          <w:sz w:val="24"/>
          <w:szCs w:val="24"/>
        </w:rPr>
        <w:t xml:space="preserve">. In particular, connectivity to other calcareous grassland is essential </w:t>
      </w:r>
      <w:r>
        <w:fldChar w:fldCharType="begin"/>
      </w:r>
      <w:r>
        <w:rPr>
          <w:rFonts w:ascii="Times New Roman" w:hAnsi="Times New Roman" w:cs="Times New Roman"/>
          <w:sz w:val="24"/>
          <w:szCs w:val="24"/>
        </w:rPr>
        <w:instrText>ADDIN ZOTERO_ITEM CSL_CITATION {"citationID":"45yOnPzE","properties":{"formattedCitation":"(Biegerl {\\i{}et al.} 2025; Kormann {\\i{}et al.} 2015; Rotch\\uc0\\u233{}s-Ribalta {\\i{}et al.} 2018)","plainCitation":"(Biegerl et al. 2025; Kormann et al. 2015; Rotchés-Ribalta et al. 2018)","noteIndex":0},"citationItems":[{"id":4918,"uris":["http://zotero.org/users/11234172/items/JYVXDA67"],"itemData":{"id":4918,"type":"article-journal","abstract":"Pollinator diversity is declining due to habitat loss, low habitat quality, limited habitat connectivity and intensification of agriculture in remaining high-value habitats within human-dominated landscapes, such as calcareous grasslands. Options to increase the local area of protected habitats are often limited. Therefore, we asked how local habitat quality as well as agri-environmental schemes (AES) and configuration of the surrounding landscape can contribute to the preservation of pollinator diversity. We sampled bees, butterflies and hoverflies in 40 calcareous grasslands in Germany, and assessed the effects of calcareous grassland area, quality and connectivity, agricultural configuration, and AES on species richness and abundance. While calcareous grassland area was an important predictor for bee and butterfly species richness, with strongest effects sizes for endangered species, local flower resources and nesting sites and landscape characteristics such as small field size, high proportion of organic fields and connectivity with other grasslands significantly enhanced pollinator richness with responses differing among the three studied taxa. In contrast to expectations, AES flowering fields did not benefit pollinator communities in grasslands. We conclude that improving local habitat quality in combination with targeted landscape management are effective measures to promote pollinator richness in highly fragmented protected grassland.","container-title":"Proceedings of the Royal Society B: Biological Sciences","DOI":"10.1098/rspb.2024.2686","issue":"2040","note":"publisher: Royal Society","page":"20242686","source":"royalsocietypublishing.org (Atypon)","title":"Landscape management can foster pollinator richness in fragmented high-value habitats","volume":"292","author":[{"family":"Biegerl","given":"Carolin"},{"family":"Holzschuh","given":"Andrea"},{"family":"Tanner","given":"Benjamin"},{"family":"Sponsler","given":"Douglas"},{"family":"Krauss","given":"Jochen"},{"family":"Zhang","given":"Jie"},{"family":"Steffan-Dewenter","given":"Ingolf"}],"issued":{"date-parts":[["2025",2,5]]}}},{"id":2249,"uris":["http://zotero.org/users/11234172/items/QRBUAJ4W"],"itemData":{"id":2249,"type":"article-journal","abstract":"Aim Biodiversity across the globe is heavily eroded by intensified management at local and landscape scales. Species communities of calcareous grasslands, which are among Europe's most diverse habitats, are severely threatened by the cessation of appropriate traditional management, loss of habitat connectivity and simplification of the surrounding landscape. However, our understanding of these often interrelated factors remains limited, in particular for trait-mediated responses across taxa. Here, we test the independent effects of local management (grazing, mowing and abandonment), habitat connectivity (measured by a connectivity index) and landscape complexity (indicated by the percentage of arable land) on nine taxa: plants, butterflies, bees, grasshoppers, hoverflies, spiders, true bugs, rove beetles and leafhoppers on small semi-natural calcareous grassland remnants (&lt; 1 ha). Location Central Germany. Methods We use a joint analysis across taxa to identify general and trait-mediated responses (body size and Red List status) in species richness, abundance and community composition. Results We identified three key drivers of local diversity patterns: First, an increasing proportion of arable land from 10% to 80% led to a 29% loss of overall species richness. Second, despite differences between taxa, increasing habitat connectivity generally enhanced species richness. Connectivity effects were more accentuated in the large species per taxon, which can be expected to be good dispersers. Finally, grazing reduced species richness and abundance much more than annual mowing or short-term abandonment (5–15 years), in particular for red-listed species. We attribute this to plant resource removal through overgrazing and trampling. Main conclusions For the conservation management of small calcareous grasslands, we advocate an alternating strategy of mowing or lenient grazing and short-term abandonment, prioritizing connected fragments surrounded by diverse landscapes. Despite taxon-specific responses, our study across nine taxa demonstrates universal, trait-mediated effects of management, landscape complexity and connectivity on local biodiversity in fragmented communities.","container-title":"Diversity and Distributions","DOI":"10.1111/ddi.12324","ISSN":"1472-4642","issue":"10","language":"en","license":"© 2015 John Wiley &amp; Sons Ltd","note":"_eprint: https://onlinelibrary.wiley.com/doi/pdf/10.1111/ddi.12324","page":"1204-1217","source":"Wiley Online Library","title":"Local and landscape management drive trait-mediated biodiversity of nine taxa on small grassland fragments","volume":"21","author":[{"family":"Kormann","given":"Urs"},{"family":"Rösch","given":"Verena"},{"family":"Batáry","given":"Péter"},{"family":"Tscharntke","given":"Teja"},{"family":"Orci","given":"Kirill Márk"},{"family":"Samu","given":"Ferenc"},{"family":"Scherber","given":"Christoph"}],"issued":{"date-parts":[["2015"]]}}},{"id":5661,"uris":["http://zotero.org/users/11234172/items/2784E257"],"itemData":{"id":5661,"type":"article-journal","abstract":"Land-use change can disrupt associations between different trophic groups, but it is unclear if habitat restoration can recover these associations. In Sweden, restoration efforts have been applied to increase areas of semi-natural grassland previously remaining as small fragments due to abandonment. We assessed how the associations between plant and pollinator communities can be modified by grassland abandonment and restoration, together with landscape connectivity. We surveyed plant, hoverfly and bee communities in 10 abandoned, 18 restored and 10 intact grasslands in south-central Sweden, distributed along a gradient of isolation from other species-rich grasslands. We assessed the effects of management history and connectivity on the relationships between several measures of the composition of plant and pollinator communities as well as between plant community composition and pollinator guilds. The composition of the local flowering plant community was an important determinant of both hoverfly and bee communities. However, plant-pollinator associations were modulated by landscape connectivity and, to some extent, by grassland management history. Abundance, species richness and functional richness of bees and species richness of hoverflies were positively associated with local plant communities in isolated grasslands, but these associations weakened in well-connected grasslands. In contrast, hoverfly abundance correlated positively with plant communities in well-connected grasslands. The response of pollinator feeding guilds was consistent with overall pollinator communities. However, abundance of bees adapted to foraging on particular plants (long-tongued and short-tongued) responded positively to specific host plant species abundance. Synthesis and applications. Our results show how land use and landscape context can significantly affect interactions between different trophic levels. Land use and landscape context should therefore be recognised in grassland restoration guidelines. Enhancement of both functional-rich and species-rich plant communities, as well as increasing abundance and species and functional richness of host plants for specialist pollinators will amend pollinator diversity. Restoration actions should consider the spatial configuration of the landscape to improve its outcome. Efforts in more isolated grasslands should focus on promoting local habitat quality while, in more connected grasslands, the priority should be maintaining connectivity to well-preserved grasslands.","container-title":"Journal of Applied Ecology","DOI":"10.1111/1365-2664.13232","ISSN":"1365-2664","issue":"6","language":"en","license":"© 2018 The Authors. Journal of Applied Ecology © 2018 British Ecological Society","note":"_eprint: https://besjournals.onlinelibrary.wiley.com/doi/pdf/10.1111/1365-2664.13232","page":"2822-2833","source":"Wiley Online Library","title":"Associations between plant and pollinator communities under grassland restoration respond mainly to landscape connectivity","volume":"55","author":[{"family":"Rotchés-Ribalta","given":"Roser"},{"family":"Winsa","given":"Marie"},{"family":"Roberts","given":"Stuart P. M."},{"family":"Öckinger","given":"Erik"}],"issued":{"date-parts":[["2018"]]}}}],"schema":"https://github.com/citation-style-language/schema/raw/master/csl-citation.json"}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(Biegerl </w:t>
      </w:r>
      <w:r>
        <w:rPr>
          <w:rFonts w:ascii="Times New Roman" w:hAnsi="Times New Roman" w:cs="Times New Roman"/>
          <w:i/>
          <w:iCs/>
          <w:sz w:val="24"/>
          <w:szCs w:val="24"/>
        </w:rPr>
        <w:t>et al.</w:t>
      </w:r>
      <w:r>
        <w:rPr>
          <w:rFonts w:ascii="Times New Roman" w:hAnsi="Times New Roman" w:cs="Times New Roman"/>
          <w:sz w:val="24"/>
          <w:szCs w:val="24"/>
        </w:rPr>
        <w:t xml:space="preserve"> 2025; Kormann </w:t>
      </w:r>
      <w:r>
        <w:rPr>
          <w:rFonts w:ascii="Times New Roman" w:hAnsi="Times New Roman" w:cs="Times New Roman"/>
          <w:i/>
          <w:iCs/>
          <w:sz w:val="24"/>
          <w:szCs w:val="24"/>
        </w:rPr>
        <w:t>et al.</w:t>
      </w:r>
      <w:r>
        <w:rPr>
          <w:rFonts w:ascii="Times New Roman" w:hAnsi="Times New Roman" w:cs="Times New Roman"/>
          <w:sz w:val="24"/>
          <w:szCs w:val="24"/>
        </w:rPr>
        <w:t xml:space="preserve"> 2015; Rotchés-Ribalta </w:t>
      </w:r>
      <w:r>
        <w:rPr>
          <w:rFonts w:ascii="Times New Roman" w:hAnsi="Times New Roman" w:cs="Times New Roman"/>
          <w:i/>
          <w:iCs/>
          <w:sz w:val="24"/>
          <w:szCs w:val="24"/>
        </w:rPr>
        <w:t>et al.</w:t>
      </w:r>
      <w:r>
        <w:rPr>
          <w:rFonts w:ascii="Times New Roman" w:hAnsi="Times New Roman" w:cs="Times New Roman"/>
          <w:sz w:val="24"/>
          <w:szCs w:val="24"/>
        </w:rPr>
        <w:t xml:space="preserve"> 2018)</w:t>
      </w:r>
      <w:r>
        <w:rPr>
          <w:rFonts w:ascii="Times New Roman" w:hAnsi="Times New Roman" w:cs="Times New Roman"/>
          <w:sz w:val="24"/>
          <w:szCs w:val="24"/>
        </w:rPr>
        <w:fldChar w:fldCharType="end"/>
      </w:r>
      <w:r>
        <w:rPr>
          <w:rFonts w:ascii="Times New Roman" w:hAnsi="Times New Roman" w:cs="Times New Roman"/>
          <w:sz w:val="24"/>
          <w:szCs w:val="24"/>
        </w:rPr>
        <w:t>, but not always feasible to restore. In this context, areas under agri-environmental</w:t>
      </w:r>
      <w:r w:rsidR="00CB6D9F">
        <w:rPr>
          <w:rFonts w:ascii="Times New Roman" w:hAnsi="Times New Roman" w:cs="Times New Roman"/>
          <w:sz w:val="24"/>
          <w:szCs w:val="24"/>
        </w:rPr>
        <w:t>-climate</w:t>
      </w:r>
      <w:r>
        <w:rPr>
          <w:rFonts w:ascii="Times New Roman" w:hAnsi="Times New Roman" w:cs="Times New Roman"/>
          <w:sz w:val="24"/>
          <w:szCs w:val="24"/>
        </w:rPr>
        <w:t xml:space="preserve"> schemes (AES) established under the Common Agricultural Policy may play a role providing landscape elements enhancing connectivity and promoting biodiversity. Yet, it remains unknown how local habitat quality and landscape-scale connectivity to calcareous grasslands and AES affect species interactions in semi-natural grasslands.</w:t>
      </w:r>
    </w:p>
    <w:p w14:paraId="7FE54A11" w14:textId="71BA5297" w:rsidR="00ED3D4B" w:rsidRDefault="00B13086" w:rsidP="00000B88">
      <w:pPr>
        <w:spacing w:line="480" w:lineRule="auto"/>
        <w:ind w:firstLine="708"/>
        <w:jc w:val="both"/>
        <w:rPr>
          <w:rFonts w:ascii="Times New Roman" w:hAnsi="Times New Roman" w:cs="Times New Roman"/>
          <w:sz w:val="20"/>
        </w:rPr>
      </w:pPr>
      <w:r>
        <w:rPr>
          <w:rFonts w:ascii="Times New Roman" w:hAnsi="Times New Roman" w:cs="Times New Roman"/>
          <w:sz w:val="24"/>
          <w:szCs w:val="24"/>
        </w:rPr>
        <w:t>The goal of this study is to inform future restoration strategies by evaluating the structural characteristics of meta</w:t>
      </w:r>
      <w:r>
        <w:rPr>
          <w:rFonts w:ascii="Times New Roman" w:hAnsi="Times New Roman" w:cs="Times New Roman"/>
          <w:sz w:val="24"/>
          <w:szCs w:val="24"/>
        </w:rPr>
        <w:noBreakHyphen/>
        <w:t>networks in European calcareous grasslands. We examined sites spanning a restoration–abandonment gradient in three countries, Estonia, Germany, and Spain. First, we investigated how habitat</w:t>
      </w:r>
      <w:r w:rsidR="00013BE8">
        <w:rPr>
          <w:rFonts w:ascii="Times New Roman" w:hAnsi="Times New Roman" w:cs="Times New Roman"/>
          <w:sz w:val="24"/>
          <w:szCs w:val="24"/>
        </w:rPr>
        <w:t xml:space="preserve">-specialists </w:t>
      </w:r>
      <w:r>
        <w:rPr>
          <w:rFonts w:ascii="Times New Roman" w:hAnsi="Times New Roman" w:cs="Times New Roman"/>
          <w:sz w:val="24"/>
          <w:szCs w:val="24"/>
        </w:rPr>
        <w:t>and interaction</w:t>
      </w:r>
      <w:r w:rsidR="00013BE8">
        <w:rPr>
          <w:rFonts w:ascii="Times New Roman" w:hAnsi="Times New Roman" w:cs="Times New Roman"/>
          <w:sz w:val="24"/>
          <w:szCs w:val="24"/>
        </w:rPr>
        <w:t xml:space="preserve"> specialization degree</w:t>
      </w:r>
      <w:r>
        <w:rPr>
          <w:rFonts w:ascii="Times New Roman" w:hAnsi="Times New Roman" w:cs="Times New Roman"/>
          <w:sz w:val="24"/>
          <w:szCs w:val="24"/>
        </w:rPr>
        <w:t xml:space="preserve"> are correlated to meta-network metrics, thereby identifying how species’ ecological specialization influences meta-network structure. Second, we assessed the influence of local and landscape-scale management practices on the meta-network </w:t>
      </w:r>
      <w:r w:rsidR="00013BE8">
        <w:rPr>
          <w:rFonts w:ascii="Times New Roman" w:hAnsi="Times New Roman" w:cs="Times New Roman"/>
          <w:sz w:val="24"/>
          <w:szCs w:val="24"/>
        </w:rPr>
        <w:t>metrics</w:t>
      </w:r>
      <w:r>
        <w:rPr>
          <w:rFonts w:ascii="Times New Roman" w:hAnsi="Times New Roman" w:cs="Times New Roman"/>
          <w:sz w:val="24"/>
          <w:szCs w:val="24"/>
        </w:rPr>
        <w:t xml:space="preserve"> to understand how different restoration approaches shape the functional connectivity of the plant-pollinator metacommunity (Figure 1). We hypothesized that: 1) habitat</w:t>
      </w:r>
      <w:r w:rsidR="00013BE8">
        <w:rPr>
          <w:rFonts w:ascii="Times New Roman" w:hAnsi="Times New Roman" w:cs="Times New Roman"/>
          <w:sz w:val="24"/>
          <w:szCs w:val="24"/>
        </w:rPr>
        <w:t>-</w:t>
      </w:r>
      <w:r>
        <w:rPr>
          <w:rFonts w:ascii="Times New Roman" w:hAnsi="Times New Roman" w:cs="Times New Roman"/>
          <w:sz w:val="24"/>
          <w:szCs w:val="24"/>
        </w:rPr>
        <w:t xml:space="preserve"> and interaction</w:t>
      </w:r>
      <w:r w:rsidR="00013BE8">
        <w:rPr>
          <w:rFonts w:ascii="Times New Roman" w:hAnsi="Times New Roman" w:cs="Times New Roman"/>
          <w:sz w:val="24"/>
          <w:szCs w:val="24"/>
        </w:rPr>
        <w:t>-</w:t>
      </w:r>
      <w:r>
        <w:rPr>
          <w:rFonts w:ascii="Times New Roman" w:hAnsi="Times New Roman" w:cs="Times New Roman"/>
          <w:sz w:val="24"/>
          <w:szCs w:val="24"/>
        </w:rPr>
        <w:t xml:space="preserve">specialist species have a stronger participation in single-site interactions </w:t>
      </w:r>
      <w:r>
        <w:fldChar w:fldCharType="begin"/>
      </w:r>
      <w:r>
        <w:rPr>
          <w:rFonts w:ascii="Times New Roman" w:hAnsi="Times New Roman" w:cs="Times New Roman"/>
          <w:sz w:val="24"/>
          <w:szCs w:val="24"/>
        </w:rPr>
        <w:instrText>ADDIN ZOTERO_ITEM CSL_CITATION {"citationID":"CAfqS52o","properties":{"formattedCitation":"(Resasco {\\i{}et al.} 2021)","plainCitation":"(Resasco et al. 2021)","noteIndex":0},"citationItems":[{"id":5022,"uris":["http://zotero.org/users/11234172/items/ZKYR7DUJ"],"itemData":{"id":5022,"type":"article-journal","abstract":"Generalist species are the linchpins of networks, as they are important for maintaining network structure and function. Previous studies have shown that interactions between generalists tend to occur consistently across years and sites. However, the link between temporal and spatial interaction persistence across scales remains unclear. To address this gap, we collected data on plant–pollinator interactions throughout the flowering period for 5 yr across six plots in a subalpine meadow in the Rocky Mountains. We found that interactions between generalists tended to persist more in time and space such that interactions near the network core were more frequently recorded across years, within seasons, and among plots. We posit that species' tolerance of environmental variation across time and space plays a key role in generalization by regulating spatiotemporal overlap with interaction partners. Our results imply a role of spatiotemporal environmental variation in organizing species interactions, marrying niche concepts that emphasize species environmental constraints and their community role.","container-title":"Ecology","DOI":"10.1002/ecy.3359","ISSN":"1939-9170","issue":"6","language":"en","license":"© 2021 by the Ecological Society of America","note":"_eprint: https://onlinelibrary.wiley.com/doi/pdf/10.1002/ecy.3359","page":"e03359","source":"Wiley Online Library","title":"Plant–pollinator interactions between generalists persist over time and space","volume":"102","author":[{"family":"Resasco","given":"Julian"},{"family":"Chacoff","given":"Natacha P."},{"family":"Vázquez","given":"Diego P."}],"issued":{"date-parts":[["2021"]]}}}],"schema":"https://github.com/citation-style-language/schema/raw/master/csl-citation.json"}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kern w:val="0"/>
          <w:sz w:val="24"/>
          <w:szCs w:val="24"/>
        </w:rPr>
        <w:t xml:space="preserve">(Resasco </w:t>
      </w:r>
      <w:r>
        <w:rPr>
          <w:rFonts w:ascii="Times New Roman" w:hAnsi="Times New Roman" w:cs="Times New Roman"/>
          <w:i/>
          <w:iCs/>
          <w:kern w:val="0"/>
          <w:sz w:val="24"/>
          <w:szCs w:val="24"/>
        </w:rPr>
        <w:t>et al.</w:t>
      </w:r>
      <w:r>
        <w:rPr>
          <w:rFonts w:ascii="Times New Roman" w:hAnsi="Times New Roman" w:cs="Times New Roman"/>
          <w:kern w:val="0"/>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thereby influencing meta-network metrics indicating interaction </w:t>
      </w:r>
      <w:r>
        <w:rPr>
          <w:rFonts w:ascii="Times New Roman" w:hAnsi="Times New Roman" w:cs="Times New Roman"/>
          <w:sz w:val="24"/>
          <w:szCs w:val="24"/>
        </w:rPr>
        <w:lastRenderedPageBreak/>
        <w:t xml:space="preserve">complementarity; and 2) local restoration actions that enhance floral resources, combined with landscape measures that increase landscape connectivity, reinforce the role of grasslands as keystone and influential patches </w:t>
      </w:r>
      <w:r>
        <w:fldChar w:fldCharType="begin"/>
      </w:r>
      <w:r>
        <w:rPr>
          <w:rFonts w:ascii="Times New Roman" w:hAnsi="Times New Roman" w:cs="Times New Roman"/>
          <w:sz w:val="24"/>
          <w:szCs w:val="24"/>
        </w:rPr>
        <w:instrText>ADDIN ZOTERO_ITEM CSL_CITATION {"citationID":"jMopfUjN","properties":{"formattedCitation":"(Libr\\uc0\\u225{}n-Embid {\\i{}et al.} 2021; Loos {\\i{}et al.} 2021)","plainCitation":"(Librán-Embid et al. 2021; Loos et al. 2021)","noteIndex":0},"citationItems":[{"id":2293,"uris":["http://zotero.org/users/11234172/items/Q3QJE3PI"],"itemData":{"id":2293,"type":"article-journal","abstract":"To understand how plant–pollinator interactions respond to habitat fragmentation, we need novel approaches that can capture properties that emerge at broad scales, where multiple communities engage in metanetworks. Here we studied plant–pollinator interactions over 2 years on 29 calcareous grassland fragments selected along independent gradients of habitat size and surrounding landscape diversity of cover types. We associated network centrality of plant–pollinator interactions and grassland fragments with their ecological and landscape traits, respectively. Interactions involving habitat specialist plants and large-bodied pollinators were the most central, implying that species with these traits form the metanetwork core. Large fragments embedded in landscapes with high land cover diversity exhibited the highest centrality; however, small fragments harboured many unique interactions not found on larger fragments. Intensively managed landscapes have reached a point in which all remaining fragments matter, meaning that losing any further areas may vanish unique interactions with unknown consequences for ecosystem functioning.","container-title":"Ecology Letters","DOI":"10.1111/ele.13892","ISSN":"1461-0248","issue":"12","language":"en","license":"© 2021 The Authors. Ecology Letters published by John Wiley &amp; Sons Ltd.","note":"_eprint: https://onlinelibrary.wiley.com/doi/pdf/10.1111/ele.13892","page":"2700-2712","source":"Wiley Online Library","title":"A plant–pollinator metanetwork along a habitat fragmentation gradient","volume":"24","author":[{"family":"Librán-Embid","given":"Felipe"},{"family":"Grass","given":"Ingo"},{"family":"Emer","given":"Carine"},{"family":"Ganuza","given":"Cristina"},{"family":"Tscharntke","given":"Teja"}],"issued":{"date-parts":[["2021"]]}}},{"id":2253,"uris":["http://zotero.org/users/11234172/items/TWL26HZ6"],"itemData":{"id":2253,"type":"article-journal","abstract":"Across Europe, calcareous grasslands become increasingly fragmented and their quality deteriorates through abandonment and land use intensification, both affecting biodiversity. Here, we investigated local and landscape effects on diversity patterns of several taxonomic groups in a landscape of highly fragmented calcareous grassland remnants. We surveyed 31 grassland fragments near Göttingen, Germany, in spring and summer 2017 for vascular plants, butterflies and birds, with sampling effort adapted to fragment area. Through regression modelling, we tested relationships between species richness and fragment size (from 314 to 51,395 m2), successional stage, habitat connectivity and the per cent cover of arable land in the landscape at several radii. We detected 283 plant species, 53 butterfly species and 70 bird species. Of these, 59 plant species, 19 butterfly species and 9 bird species were grassland specialists. Larger fragments supported twice the species richness of plants than small ones, and hosted more species of butterflies, but not of birds. Larger grassland fragments contained more grassland specialist plants, but not butterfly or bird specialists. Increasing amounts of arable land in the landscape from 20 to 90% was related to the loss of a third of species of plants, and less so, of butterflies, but not of birds. Per cent cover of arable land negatively correlated to richness of grassland specialist plants and butterflies, but positively to grassland specialist birds. We found no effect by successional stages and habitat connectivity. Our multi-taxa approach highlights the need for conservation management at the local scale, complemented by measures at the landscape scale.","container-title":"Biodiversity and Conservation","DOI":"10.1007/s10531-021-02201-y","ISSN":"1572-9710","issue":"8","journalAbbreviation":"Biodivers Conserv","language":"en","page":"2415-2432","source":"Springer Link","title":"Local and landscape responses of biodiversity in calcareous grasslands","volume":"30","author":[{"family":"Loos","given":"Jacqueline"},{"family":"Krauss","given":"Jochen"},{"family":"Lyons","given":"Ashley"},{"family":"Föst","given":"Stephanie"},{"family":"Ohlendorf","given":"Constanze"},{"family":"Racky","given":"Severin"},{"family":"Röder","given":"Marina"},{"family":"Hudel","given":"Lennart"},{"family":"Herfert","given":"Volker"},{"family":"Tscharntke","given":"Teja"}],"issued":{"date-parts":[["2021",7,1]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(Librán-Embid </w:t>
      </w:r>
      <w:r>
        <w:rPr>
          <w:rFonts w:ascii="Times New Roman" w:hAnsi="Times New Roman" w:cs="Times New Roman"/>
          <w:i/>
          <w:iCs/>
          <w:sz w:val="24"/>
          <w:szCs w:val="24"/>
        </w:rPr>
        <w:t>et al.</w:t>
      </w:r>
      <w:r>
        <w:rPr>
          <w:rFonts w:ascii="Times New Roman" w:hAnsi="Times New Roman" w:cs="Times New Roman"/>
          <w:sz w:val="24"/>
          <w:szCs w:val="24"/>
        </w:rPr>
        <w:t xml:space="preserve"> 2021; Loos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4519E" w:rsidRPr="0094519E">
        <w:rPr>
          <w:rFonts w:ascii="Times New Roman" w:hAnsi="Times New Roman" w:cs="Times New Roman"/>
          <w:sz w:val="24"/>
          <w:szCs w:val="24"/>
        </w:rPr>
        <w:t>This leads to higher predicted eigenvector centrality and apparent influence in restored grasslands, together with lower closeness centrality, indicating diminished meta-network impairment</w:t>
      </w:r>
      <w:r>
        <w:rPr>
          <w:rFonts w:ascii="Times New Roman" w:hAnsi="Times New Roman" w:cs="Times New Roman"/>
          <w:sz w:val="24"/>
          <w:szCs w:val="24"/>
        </w:rPr>
        <w:t xml:space="preserve">. This information can help identify and prioritize local and landscape restoration actions that maintain key ecological interactions, prevent biotic homogenization and enhance metacommunity cohesiveness. </w:t>
      </w:r>
    </w:p>
    <w:p w14:paraId="1A5776FF" w14:textId="77777777" w:rsidR="00ED3D4B" w:rsidRDefault="00B1308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Methods: </w:t>
      </w:r>
    </w:p>
    <w:p w14:paraId="59FE2533" w14:textId="77777777" w:rsidR="00ED3D4B" w:rsidRDefault="00B13086">
      <w:pPr>
        <w:spacing w:line="480" w:lineRule="auto"/>
        <w:jc w:val="both"/>
        <w:rPr>
          <w:rFonts w:ascii="Times New Roman" w:hAnsi="Times New Roman" w:cs="Times New Roman"/>
          <w:b/>
          <w:sz w:val="24"/>
          <w:szCs w:val="24"/>
        </w:rPr>
      </w:pPr>
      <w:r>
        <w:rPr>
          <w:rFonts w:ascii="Times New Roman" w:hAnsi="Times New Roman" w:cs="Times New Roman"/>
          <w:b/>
          <w:bCs/>
          <w:i/>
          <w:iCs/>
          <w:sz w:val="24"/>
          <w:szCs w:val="24"/>
        </w:rPr>
        <w:t>Study regions and sites:</w:t>
      </w:r>
    </w:p>
    <w:p w14:paraId="3112BC79" w14:textId="77777777" w:rsidR="00000B88" w:rsidRDefault="00B13086" w:rsidP="00000B8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We studied 96 calcareous grasslands from three different countries: Spain (Mediterranean region), Germany (continental region) and Estonia (boreal region). Specifically, in each country, 32 calcareous grasslands of up to 10 ha were monitored (Figure 2). They were characterized by different management and vegetation successional stages, from abandoned to restored, embedded in contrasting landscapes with different levels of connectivity to other calcareous grasslands and surrounding areas of AES (see Figure 1).</w:t>
      </w:r>
    </w:p>
    <w:p w14:paraId="478F774B" w14:textId="238B4640" w:rsidR="00ED3D4B" w:rsidRDefault="00B13086" w:rsidP="00000B8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Our experimental design covered 16 managed and 16 unmanaged calcareous grasslands in Estonia and Spain and 24 managed and 8 unmanaged in Germany, due to the difficulty to find unmanaged grasslands in the German study area. In Estonia and Germany, managed grasslands were initially restored between 2 to 70 years before the study. In Spain, managed grasslands were not previously restored since they have been continuously kept under livestock regimes. During the study period, local management consisted of extensive livestock grazing at different stocking rates and, in certain grasslands in Germany, regular shrub removal. By contrast, the unmanaged grasslands were characterized by a succession process, with different covers of shrubs and trees. </w:t>
      </w:r>
      <w:bookmarkStart w:id="5" w:name="_Hlk206173301"/>
      <w:r>
        <w:rPr>
          <w:rFonts w:ascii="Times New Roman" w:hAnsi="Times New Roman" w:cs="Times New Roman"/>
          <w:sz w:val="24"/>
          <w:szCs w:val="24"/>
        </w:rPr>
        <w:lastRenderedPageBreak/>
        <w:t>Thus, in each country, managed and unmanaged grasslands conformed an abandonment to restoration gradien</w:t>
      </w:r>
      <w:bookmarkEnd w:id="5"/>
      <w:r>
        <w:rPr>
          <w:rFonts w:ascii="Times New Roman" w:hAnsi="Times New Roman" w:cs="Times New Roman"/>
          <w:sz w:val="24"/>
          <w:szCs w:val="24"/>
        </w:rPr>
        <w:t>t.</w:t>
      </w:r>
    </w:p>
    <w:p w14:paraId="6ABC9C06" w14:textId="77777777" w:rsidR="00ED3D4B" w:rsidRDefault="00B13086">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 xml:space="preserve">Plant-pollinator interaction recording: </w:t>
      </w:r>
    </w:p>
    <w:p w14:paraId="60BA784E" w14:textId="60D01E9D" w:rsidR="00ED3D4B" w:rsidRDefault="00B1308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33F62" w:rsidRPr="00933F62">
        <w:rPr>
          <w:rFonts w:ascii="Times New Roman" w:hAnsi="Times New Roman" w:cs="Times New Roman"/>
          <w:sz w:val="24"/>
          <w:szCs w:val="24"/>
        </w:rPr>
        <w:t>Plant–pollinator interactions were recorded by observing wild bee visits to flowers along transect walks</w:t>
      </w:r>
      <w:r w:rsidR="00CB6D9F">
        <w:rPr>
          <w:rFonts w:ascii="Times New Roman" w:hAnsi="Times New Roman" w:cs="Times New Roman"/>
          <w:sz w:val="24"/>
          <w:szCs w:val="24"/>
        </w:rPr>
        <w:t>. E</w:t>
      </w:r>
      <w:r>
        <w:rPr>
          <w:rFonts w:ascii="Times New Roman" w:hAnsi="Times New Roman" w:cs="Times New Roman"/>
          <w:sz w:val="24"/>
          <w:szCs w:val="24"/>
        </w:rPr>
        <w:t>ach site</w:t>
      </w:r>
      <w:r w:rsidR="00CB6D9F">
        <w:rPr>
          <w:rFonts w:ascii="Times New Roman" w:hAnsi="Times New Roman" w:cs="Times New Roman"/>
          <w:sz w:val="24"/>
          <w:szCs w:val="24"/>
        </w:rPr>
        <w:t xml:space="preserve"> was visited</w:t>
      </w:r>
      <w:r>
        <w:rPr>
          <w:rFonts w:ascii="Times New Roman" w:hAnsi="Times New Roman" w:cs="Times New Roman"/>
          <w:sz w:val="24"/>
          <w:szCs w:val="24"/>
        </w:rPr>
        <w:t xml:space="preserve"> three times during the spring and summer of 2022 and two times in 2023. Sampling was conducted during sunny weather, above 15 °C, with no strong wind, between 08:00 - 17:30. During each round, four flexible transects </w:t>
      </w:r>
      <w:r>
        <w:fldChar w:fldCharType="begin"/>
      </w:r>
      <w:r>
        <w:rPr>
          <w:rFonts w:ascii="Times New Roman" w:hAnsi="Times New Roman" w:cs="Times New Roman"/>
          <w:sz w:val="24"/>
          <w:szCs w:val="24"/>
        </w:rPr>
        <w:instrText>ADDIN ZOTERO_ITEM CSL_CITATION {"citationID":"qWrNK7se","properties":{"formattedCitation":"(Westphal {\\i{}et al.} 2008)","plainCitation":"(Westphal et al. 2008)","noteIndex":0},"citationItems":[{"id":5675,"uris":["http://zotero.org/users/11234172/items/JCV7VL63"],"itemData":{"id":5675,"type":"article-journal","abstract":"Bee pollinators are currently recorded with many different sampling methods. However, the relative performances of these methods have not been systematically evaluated and compared. In response to the strong need to record ongoing shifts in pollinator diversity and abundance, global and regional pollinator initiatives must adopt standardized sampling protocols when developing large-scale and long-term monitoring schemes. We systematically evaluated the performance of six sampling methods (observation plots, pan traps, standardized and variable transect walks, trap nests with reed internodes or paper tubes) that are commonly used across a wide range of geographical regions in Europe and in two habitat types (agricultural and seminatural). We focused on bees since they represent the most important pollinator group worldwide. Several characteristics of the methods were considered in order to evaluate their performance in assessing bee diversity: sample coverage, observed species richness, species richness estimators, collector biases (identified by subunit-based rarefaction curves), species composition of the samples, and the indication of overall bee species richness (estimated from combined total samples). The most efficient method in all geographical regions, in both the agricultural and seminatural habitats, was the pan trap method. It had the highest sample coverage, collected the highest number of species, showed negligible collector bias, detected similar species as the transect methods, and was the best indicator of overall bee species richness. The transect methods were also relatively efficient, but they had a significant collector bias. The observation plots showed poor performance. As trap nests are restricted to cavity-nesting bee species, they had a naturally low sample coverage. However, both trap nest types detected additional species that were not recorded by any of the other methods. For large-scale and long-term monitoring schemes with surveyors with different experience levels, we recommend pan traps as the most efficient, unbiased, and cost-effective method for sampling bee diversity. Trap nests with reed internodes could be used as a complementary sampling method to maximize the numbers of collected species. Transect walks are the principal method for detailed studies focusing on plant–pollinator associations. Moreover, they can be used in monitoring schemes after training the surveyors to standardize their collection skills.","container-title":"Ecological Monographs","DOI":"10.1890/07-1292.1","ISSN":"1557-7015","issue":"4","language":"en","license":"© 2008 by the Ecological Society of America","note":"_eprint: https://esajournals.onlinelibrary.wiley.com/doi/pdf/10.1890/07-1292.1","page":"653-671","source":"Wiley Online Library","title":"Measuring Bee Diversity in Different European Habitats and Biogeographical Regions","volume":"78","author":[{"family":"Westphal","given":"Catrin"},{"family":"Bommarco","given":"Riccardo"},{"family":"Carré","given":"Gabriel"},{"family":"Lamborn","given":"Ellen"},{"family":"Morison","given":"Nicolas"},{"family":"Petanidou","given":"Theodora"},{"family":"Potts","given":"Simon G."},{"family":"Roberts","given":"Stuart P. M."},{"family":"Szentgyörgyi","given":"Hajnalka"},{"family":"Tscheulin","given":"Thomas"},{"family":"Vaissière","given":"Bernard E."},{"family":"Woyciechowski","given":"Michal"},{"family":"Biesmeijer","given":"Jacobus C."},{"family":"Kunin","given":"William E."},{"family":"Settele","given":"Josef"},{"family":"Steffan-Dewenter","given":"Ingolf"}],"issued":{"date-parts":[["2008"]]}}}],"schema":"https://github.com/citation-style-language/schema/raw/master/csl-citation.json"}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(Westphal </w:t>
      </w:r>
      <w:r>
        <w:rPr>
          <w:rFonts w:ascii="Times New Roman" w:hAnsi="Times New Roman" w:cs="Times New Roman"/>
          <w:i/>
          <w:iCs/>
          <w:sz w:val="24"/>
          <w:szCs w:val="24"/>
        </w:rPr>
        <w:t>et al.</w:t>
      </w:r>
      <w:r>
        <w:rPr>
          <w:rFonts w:ascii="Times New Roman" w:hAnsi="Times New Roman" w:cs="Times New Roman"/>
          <w:sz w:val="24"/>
          <w:szCs w:val="24"/>
        </w:rPr>
        <w:t xml:space="preserve"> 2008)</w:t>
      </w:r>
      <w:r>
        <w:rPr>
          <w:rFonts w:ascii="Times New Roman" w:hAnsi="Times New Roman" w:cs="Times New Roman"/>
          <w:sz w:val="24"/>
          <w:szCs w:val="24"/>
        </w:rPr>
        <w:fldChar w:fldCharType="end"/>
      </w:r>
      <w:r>
        <w:rPr>
          <w:rFonts w:ascii="Times New Roman" w:hAnsi="Times New Roman" w:cs="Times New Roman"/>
          <w:sz w:val="24"/>
          <w:szCs w:val="24"/>
        </w:rPr>
        <w:t xml:space="preserve"> of 50 m length and 2 m width were walked for 5 min. Every time a wild bee was encountered visiting a flower, both bee and plant species were identified and recorded as an interaction. If </w:t>
      </w:r>
      <w:r w:rsidR="00933F62">
        <w:rPr>
          <w:rFonts w:ascii="Times New Roman" w:hAnsi="Times New Roman" w:cs="Times New Roman"/>
          <w:sz w:val="24"/>
          <w:szCs w:val="24"/>
        </w:rPr>
        <w:t xml:space="preserve">species-level </w:t>
      </w:r>
      <w:r>
        <w:rPr>
          <w:rFonts w:ascii="Times New Roman" w:hAnsi="Times New Roman" w:cs="Times New Roman"/>
          <w:sz w:val="24"/>
          <w:szCs w:val="24"/>
        </w:rPr>
        <w:t xml:space="preserve">identification was not possible in the field, bees were captured with an insect </w:t>
      </w:r>
      <w:r w:rsidR="00933F62">
        <w:rPr>
          <w:rFonts w:ascii="Times New Roman" w:hAnsi="Times New Roman" w:cs="Times New Roman"/>
          <w:sz w:val="24"/>
          <w:szCs w:val="24"/>
        </w:rPr>
        <w:t xml:space="preserve">sweep </w:t>
      </w:r>
      <w:r>
        <w:rPr>
          <w:rFonts w:ascii="Times New Roman" w:hAnsi="Times New Roman" w:cs="Times New Roman"/>
          <w:sz w:val="24"/>
          <w:szCs w:val="24"/>
        </w:rPr>
        <w:t xml:space="preserve">net and identified by experts in the lab. During handling and identification, the time was stopped. The interactions involving </w:t>
      </w:r>
      <w:r>
        <w:rPr>
          <w:rFonts w:ascii="Times New Roman" w:hAnsi="Times New Roman" w:cs="Times New Roman"/>
          <w:i/>
          <w:sz w:val="24"/>
          <w:szCs w:val="24"/>
        </w:rPr>
        <w:t>Apis mellifera</w:t>
      </w:r>
      <w:r>
        <w:rPr>
          <w:rFonts w:ascii="Times New Roman" w:hAnsi="Times New Roman" w:cs="Times New Roman"/>
          <w:sz w:val="24"/>
          <w:szCs w:val="24"/>
        </w:rPr>
        <w:t xml:space="preserve"> were excluded from the final analysis, since the presence </w:t>
      </w:r>
      <w:r w:rsidR="00933F62">
        <w:rPr>
          <w:rFonts w:ascii="Times New Roman" w:hAnsi="Times New Roman" w:cs="Times New Roman"/>
          <w:sz w:val="24"/>
          <w:szCs w:val="24"/>
        </w:rPr>
        <w:t xml:space="preserve">and abundance </w:t>
      </w:r>
      <w:r>
        <w:rPr>
          <w:rFonts w:ascii="Times New Roman" w:hAnsi="Times New Roman" w:cs="Times New Roman"/>
          <w:sz w:val="24"/>
          <w:szCs w:val="24"/>
        </w:rPr>
        <w:t xml:space="preserve">of this species in the studied regions is related to beekeeper activity (see Supplementary Materials (SM), Appendix (A) 1). </w:t>
      </w:r>
    </w:p>
    <w:p w14:paraId="6CA63847" w14:textId="54680FA6" w:rsidR="00ED3D4B" w:rsidRDefault="00B13086">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Habitat</w:t>
      </w:r>
      <w:r w:rsidR="00186F21">
        <w:rPr>
          <w:rFonts w:ascii="Times New Roman" w:hAnsi="Times New Roman" w:cs="Times New Roman"/>
          <w:b/>
          <w:i/>
          <w:sz w:val="24"/>
          <w:szCs w:val="24"/>
        </w:rPr>
        <w:t>-</w:t>
      </w:r>
      <w:r>
        <w:rPr>
          <w:rFonts w:ascii="Times New Roman" w:hAnsi="Times New Roman" w:cs="Times New Roman"/>
          <w:b/>
          <w:i/>
          <w:sz w:val="24"/>
          <w:szCs w:val="24"/>
        </w:rPr>
        <w:t xml:space="preserve">specialist species and calculation of interaction specialization index: </w:t>
      </w:r>
    </w:p>
    <w:p w14:paraId="3FC9E3DE" w14:textId="4D4312C0" w:rsidR="00ED3D4B" w:rsidRDefault="00B13086">
      <w:pPr>
        <w:spacing w:line="480" w:lineRule="auto"/>
        <w:jc w:val="both"/>
        <w:rPr>
          <w:rFonts w:ascii="Times New Roman" w:hAnsi="Times New Roman" w:cs="Times New Roman"/>
          <w:sz w:val="24"/>
          <w:szCs w:val="24"/>
        </w:rPr>
      </w:pPr>
      <w:r>
        <w:rPr>
          <w:rFonts w:ascii="Times New Roman" w:hAnsi="Times New Roman" w:cs="Times New Roman"/>
          <w:sz w:val="24"/>
          <w:szCs w:val="24"/>
        </w:rPr>
        <w:tab/>
        <w:t>To identify plant and wild bee habitat</w:t>
      </w:r>
      <w:r w:rsidR="00186F21">
        <w:rPr>
          <w:rFonts w:ascii="Times New Roman" w:hAnsi="Times New Roman" w:cs="Times New Roman"/>
          <w:sz w:val="24"/>
          <w:szCs w:val="24"/>
        </w:rPr>
        <w:t>-</w:t>
      </w:r>
      <w:r>
        <w:rPr>
          <w:rFonts w:ascii="Times New Roman" w:hAnsi="Times New Roman" w:cs="Times New Roman"/>
          <w:sz w:val="24"/>
          <w:szCs w:val="24"/>
        </w:rPr>
        <w:t xml:space="preserve">specialists, we reviewed existing literature </w:t>
      </w:r>
      <w:r w:rsidR="00000B88">
        <w:rPr>
          <w:rFonts w:ascii="Times New Roman" w:hAnsi="Times New Roman" w:cs="Times New Roman"/>
          <w:sz w:val="24"/>
          <w:szCs w:val="24"/>
        </w:rPr>
        <w:fldChar w:fldCharType="begin"/>
      </w:r>
      <w:r w:rsidR="009955B7">
        <w:rPr>
          <w:rFonts w:ascii="Times New Roman" w:hAnsi="Times New Roman" w:cs="Times New Roman"/>
          <w:sz w:val="24"/>
          <w:szCs w:val="24"/>
        </w:rPr>
        <w:instrText xml:space="preserve"> ADDIN ZOTERO_ITEM CSL_CITATION {"citationID":"wX4w1TVk","properties":{"formattedCitation":"(Kasari {\\i{}et al.} 2013; Michez {\\i{}et al.} 2019; Westrich 2018)","plainCitation":"(Kasari et al. 2013; Michez et al. 2019; Westrich 2018)","noteIndex":0},"citationItems":[{"id":5894,"uris":["http://zotero.org/users/11234172/items/VJAKVZFV"],"itemData":{"id":5894,"type":"article-journal","abstract":"Dry calcareous grasslands in Europe are renowned for their high plant diversity. However, declining habitat areas and highly fragmented distribution threaten the long-term persistence of this valuable habitat type. In Estonia the decline of traditional grassland management and subsequent encroachment of shrubs has resulted in a substantial loss of alvar grasslands – a particularly rare and species-rich type of calcareous grassland. It is known that a shrub cover of more than 70% decreases the alvar grassland species richness. At the same time, a shrub cover of 30% is considered optimal for alvar grasslands and thus a target state for habitat restoration. However, very little is known about the effect of low shrub cover on environmental conditions and species composition of alvar grasslands. Our aim was to detect to what extent the small-scale plant diversity and species composition is influenced by low shrub cover (less than 30%). We hypothesized that even a low shrub cover can have an effect on the environmental conditions of alvar grasslands.","container-title":"Tuexenia","language":"en","page":"293-308","source":"Zotero","title":"Low shrub cover in alvar grasslands increases small-scale diversity by promoting the occurrence of generalist species","volume":"33","author":[{"family":"Kasari","given":"Liis"},{"family":"Gazol","given":"Antonio"},{"family":"Kalwij","given":"Jesse M"},{"family":"Helm","given":"Aveliina"}],"issued":{"date-parts":[["2013"]]}}},{"id":5895,"uris":["http://zotero.org/users/11234172/items/8W9GX7RM"],"itemData":{"id":5895,"type":"book","abstract":"&lt;p&gt; Verrières-le-Buisson 2019, 548 Seiten, sehr viele Farbabb. &lt;em&gt;This guide is the first volume of a series on Hymenoptera of Europe. In its first part a general presentation is given on their morphology, ecology, evolution and methods for...","language":"de","publisher":"N.A.P.","title":"Bees of Europe – Hymenoptera of Europe 1","URL":"https://www.chimaira.de/wirbellose/bees-of-europe-hymenoptera-of-europe-1.html","author":[{"family":"Michez","given":"D."},{"family":"Rasmont","given":"P."},{"family":"Terzo","given":"M."},{"family":"Vereecken","given":"N. J."}],"accessed":{"date-parts":[["2025",9,26]]},"issued":{"date-parts":[["2019"]]}}},{"id":5891,"uris":["http://zotero.org/users/11234172/items/AH48E3GL"],"itemData":{"id":5891,"type":"book","abstract":"Die Wildbienen Deutschlands. Paul Westrich. 2., aktualisierte Auflage 2019. 824 S., 1700 Farbfotos, 17 Zeichnungen, 14 Tabellen, geb. ISBN 978-3-8186-0880-4. € 115,00. ET-Ist: 12.09.2019Mit seinem...","event-place":"Sturrgart","language":"de","number-of-pages":"824","publisher":"Eugen Ulmer","publisher-place":"Sturrgart","title":"Die Wildbienen Deutschlands","URL":"https://www.ulmer.de/article-6076169-3210/die-wildbienen-deutschlands-.html","author":[{"family":"Westrich","given":"Paul"}],"accessed":{"date-parts":[["2025",9,26]]},"issued":{"date-parts":[["2018"]]}}}],"schema":"https://github.com/citation-style-language/schema/raw/master/csl-citation.json"} </w:instrText>
      </w:r>
      <w:r w:rsidR="00000B88">
        <w:rPr>
          <w:rFonts w:ascii="Times New Roman" w:hAnsi="Times New Roman" w:cs="Times New Roman"/>
          <w:sz w:val="24"/>
          <w:szCs w:val="24"/>
        </w:rPr>
        <w:fldChar w:fldCharType="separate"/>
      </w:r>
      <w:r w:rsidR="009955B7" w:rsidRPr="009955B7">
        <w:rPr>
          <w:rFonts w:ascii="Times New Roman" w:hAnsi="Times New Roman" w:cs="Times New Roman"/>
          <w:sz w:val="24"/>
          <w:szCs w:val="24"/>
        </w:rPr>
        <w:t xml:space="preserve">(Kasari </w:t>
      </w:r>
      <w:r w:rsidR="009955B7" w:rsidRPr="009955B7">
        <w:rPr>
          <w:rFonts w:ascii="Times New Roman" w:hAnsi="Times New Roman" w:cs="Times New Roman"/>
          <w:i/>
          <w:iCs/>
          <w:sz w:val="24"/>
          <w:szCs w:val="24"/>
        </w:rPr>
        <w:t>et al.</w:t>
      </w:r>
      <w:r w:rsidR="009955B7" w:rsidRPr="009955B7">
        <w:rPr>
          <w:rFonts w:ascii="Times New Roman" w:hAnsi="Times New Roman" w:cs="Times New Roman"/>
          <w:sz w:val="24"/>
          <w:szCs w:val="24"/>
        </w:rPr>
        <w:t xml:space="preserve"> 2013; Michez </w:t>
      </w:r>
      <w:r w:rsidR="009955B7" w:rsidRPr="009955B7">
        <w:rPr>
          <w:rFonts w:ascii="Times New Roman" w:hAnsi="Times New Roman" w:cs="Times New Roman"/>
          <w:i/>
          <w:iCs/>
          <w:sz w:val="24"/>
          <w:szCs w:val="24"/>
        </w:rPr>
        <w:t>et al.</w:t>
      </w:r>
      <w:r w:rsidR="009955B7" w:rsidRPr="009955B7">
        <w:rPr>
          <w:rFonts w:ascii="Times New Roman" w:hAnsi="Times New Roman" w:cs="Times New Roman"/>
          <w:sz w:val="24"/>
          <w:szCs w:val="24"/>
        </w:rPr>
        <w:t xml:space="preserve"> 2019; Westrich 2018)</w:t>
      </w:r>
      <w:r w:rsidR="00000B88">
        <w:rPr>
          <w:rFonts w:ascii="Times New Roman" w:hAnsi="Times New Roman" w:cs="Times New Roman"/>
          <w:sz w:val="24"/>
          <w:szCs w:val="24"/>
        </w:rPr>
        <w:fldChar w:fldCharType="end"/>
      </w:r>
      <w:r w:rsidR="00934BEE">
        <w:rPr>
          <w:rFonts w:ascii="Times New Roman" w:hAnsi="Times New Roman" w:cs="Times New Roman"/>
          <w:sz w:val="24"/>
          <w:szCs w:val="24"/>
        </w:rPr>
        <w:t xml:space="preserve"> </w:t>
      </w:r>
      <w:r>
        <w:rPr>
          <w:rFonts w:ascii="Times New Roman" w:hAnsi="Times New Roman" w:cs="Times New Roman"/>
          <w:sz w:val="24"/>
          <w:szCs w:val="24"/>
        </w:rPr>
        <w:t xml:space="preserve">and consulted local experts </w:t>
      </w:r>
      <w:r w:rsidR="009955B7">
        <w:rPr>
          <w:rFonts w:ascii="Times New Roman" w:hAnsi="Times New Roman" w:cs="Times New Roman"/>
          <w:sz w:val="24"/>
          <w:szCs w:val="24"/>
        </w:rPr>
        <w:t xml:space="preserve">(Erwin Bergmeier, </w:t>
      </w:r>
      <w:r w:rsidR="009955B7" w:rsidRPr="009955B7">
        <w:rPr>
          <w:rFonts w:ascii="Times New Roman" w:hAnsi="Times New Roman" w:cs="Times New Roman"/>
          <w:sz w:val="24"/>
          <w:szCs w:val="24"/>
        </w:rPr>
        <w:t>Jelle Devalez</w:t>
      </w:r>
      <w:r w:rsidR="009955B7">
        <w:rPr>
          <w:rFonts w:ascii="Times New Roman" w:hAnsi="Times New Roman" w:cs="Times New Roman"/>
          <w:sz w:val="24"/>
          <w:szCs w:val="24"/>
        </w:rPr>
        <w:t xml:space="preserve">, Jordi Artola) </w:t>
      </w:r>
      <w:r>
        <w:rPr>
          <w:rFonts w:ascii="Times New Roman" w:hAnsi="Times New Roman" w:cs="Times New Roman"/>
          <w:sz w:val="24"/>
          <w:szCs w:val="24"/>
        </w:rPr>
        <w:t xml:space="preserve">to determine which species can be classified as </w:t>
      </w:r>
      <w:r w:rsidR="00BD7B15">
        <w:rPr>
          <w:rFonts w:ascii="Times New Roman" w:hAnsi="Times New Roman" w:cs="Times New Roman"/>
          <w:sz w:val="24"/>
          <w:szCs w:val="24"/>
        </w:rPr>
        <w:t xml:space="preserve">specialists for </w:t>
      </w:r>
      <w:r>
        <w:rPr>
          <w:rFonts w:ascii="Times New Roman" w:hAnsi="Times New Roman" w:cs="Times New Roman"/>
          <w:sz w:val="24"/>
          <w:szCs w:val="24"/>
        </w:rPr>
        <w:t xml:space="preserve">calcareous grassland </w:t>
      </w:r>
      <w:r w:rsidR="00BD7B15">
        <w:rPr>
          <w:rFonts w:ascii="Times New Roman" w:hAnsi="Times New Roman" w:cs="Times New Roman"/>
          <w:sz w:val="24"/>
          <w:szCs w:val="24"/>
        </w:rPr>
        <w:t>habitats</w:t>
      </w:r>
      <w:r>
        <w:rPr>
          <w:rFonts w:ascii="Times New Roman" w:hAnsi="Times New Roman" w:cs="Times New Roman"/>
          <w:sz w:val="24"/>
          <w:szCs w:val="24"/>
        </w:rPr>
        <w:t>. To quantify interaction specialization, we calculated the standardized specialization index (</w:t>
      </w:r>
      <w:r w:rsidRPr="00881363">
        <w:rPr>
          <w:rFonts w:ascii="Times New Roman" w:hAnsi="Times New Roman" w:cs="Times New Roman"/>
          <w:i/>
          <w:iCs/>
          <w:sz w:val="24"/>
          <w:szCs w:val="24"/>
        </w:rPr>
        <w:t>d</w:t>
      </w:r>
      <w:r>
        <w:rPr>
          <w:rFonts w:ascii="Times New Roman" w:hAnsi="Times New Roman" w:cs="Times New Roman"/>
          <w:sz w:val="24"/>
          <w:szCs w:val="24"/>
        </w:rPr>
        <w:t>’) by pooling all plant–wild bee interactions per country into a bipartite network and applying the dfun function of the bipartite package</w:t>
      </w:r>
      <w:r w:rsidR="009955B7">
        <w:rPr>
          <w:rFonts w:ascii="Times New Roman" w:hAnsi="Times New Roman" w:cs="Times New Roman"/>
          <w:sz w:val="24"/>
          <w:szCs w:val="24"/>
        </w:rPr>
        <w:t xml:space="preserve"> </w:t>
      </w:r>
      <w:r w:rsidR="009955B7">
        <w:rPr>
          <w:rFonts w:ascii="Times New Roman" w:hAnsi="Times New Roman" w:cs="Times New Roman"/>
          <w:sz w:val="24"/>
          <w:szCs w:val="24"/>
        </w:rPr>
        <w:fldChar w:fldCharType="begin"/>
      </w:r>
      <w:r w:rsidR="009955B7">
        <w:rPr>
          <w:rFonts w:ascii="Times New Roman" w:hAnsi="Times New Roman" w:cs="Times New Roman"/>
          <w:sz w:val="24"/>
          <w:szCs w:val="24"/>
        </w:rPr>
        <w:instrText xml:space="preserve"> ADDIN ZOTERO_ITEM CSL_CITATION {"citationID":"Tv4oKup1","properties":{"formattedCitation":"(Dormann {\\i{}et al.} 2008)","plainCitation":"(Dormann et al. 2008)","noteIndex":0},"citationItems":[{"id":4967,"uris":["http://zotero.org/users/11234172/items/3Y927ZKH"],"itemData":{"id":4967,"type":"article-journal","abstract":"\"Introducing the bipartite package: Analysing ecological networks\" published in R News.","container-title":"R News","ISSN":"1609-3631","issue":"2","page":"8-11","source":"journal.r-project.org","title":"Introducing the bipartite package: Analysing ecological networks","title-short":"Introducing the bipartite package","volume":"8","author":[{"family":"Dormann","given":"Carsten F."},{"family":"Gruber","given":"Bernd"},{"family":"Fründ","given":"Jochen"}],"issued":{"date-parts":[["2008",10,1]]}}}],"schema":"https://github.com/citation-style-language/schema/raw/master/csl-citation.json"} </w:instrText>
      </w:r>
      <w:r w:rsidR="009955B7">
        <w:rPr>
          <w:rFonts w:ascii="Times New Roman" w:hAnsi="Times New Roman" w:cs="Times New Roman"/>
          <w:sz w:val="24"/>
          <w:szCs w:val="24"/>
        </w:rPr>
        <w:fldChar w:fldCharType="separate"/>
      </w:r>
      <w:r w:rsidR="009955B7" w:rsidRPr="009955B7">
        <w:rPr>
          <w:rFonts w:ascii="Times New Roman" w:hAnsi="Times New Roman" w:cs="Times New Roman"/>
          <w:sz w:val="24"/>
          <w:szCs w:val="24"/>
        </w:rPr>
        <w:t xml:space="preserve">(Dormann </w:t>
      </w:r>
      <w:r w:rsidR="009955B7" w:rsidRPr="009955B7">
        <w:rPr>
          <w:rFonts w:ascii="Times New Roman" w:hAnsi="Times New Roman" w:cs="Times New Roman"/>
          <w:i/>
          <w:iCs/>
          <w:sz w:val="24"/>
          <w:szCs w:val="24"/>
        </w:rPr>
        <w:t>et al.</w:t>
      </w:r>
      <w:r w:rsidR="009955B7" w:rsidRPr="009955B7">
        <w:rPr>
          <w:rFonts w:ascii="Times New Roman" w:hAnsi="Times New Roman" w:cs="Times New Roman"/>
          <w:sz w:val="24"/>
          <w:szCs w:val="24"/>
        </w:rPr>
        <w:t xml:space="preserve"> 2008)</w:t>
      </w:r>
      <w:r w:rsidR="009955B7">
        <w:rPr>
          <w:rFonts w:ascii="Times New Roman" w:hAnsi="Times New Roman" w:cs="Times New Roman"/>
          <w:sz w:val="24"/>
          <w:szCs w:val="24"/>
        </w:rPr>
        <w:fldChar w:fldCharType="end"/>
      </w:r>
      <w:r w:rsidRPr="009955B7">
        <w:rPr>
          <w:rFonts w:ascii="Times New Roman" w:hAnsi="Times New Roman" w:cs="Times New Roman"/>
          <w:sz w:val="24"/>
          <w:szCs w:val="24"/>
        </w:rPr>
        <w:t>.</w:t>
      </w:r>
      <w:r>
        <w:rPr>
          <w:rFonts w:ascii="Times New Roman" w:hAnsi="Times New Roman" w:cs="Times New Roman"/>
          <w:sz w:val="24"/>
          <w:szCs w:val="24"/>
        </w:rPr>
        <w:t xml:space="preserve"> The </w:t>
      </w:r>
      <w:r w:rsidRPr="00881363">
        <w:rPr>
          <w:rFonts w:ascii="Times New Roman" w:hAnsi="Times New Roman" w:cs="Times New Roman"/>
          <w:i/>
          <w:iCs/>
          <w:sz w:val="24"/>
          <w:szCs w:val="24"/>
        </w:rPr>
        <w:t>d</w:t>
      </w:r>
      <w:r>
        <w:rPr>
          <w:rFonts w:ascii="Times New Roman" w:hAnsi="Times New Roman" w:cs="Times New Roman"/>
          <w:sz w:val="24"/>
          <w:szCs w:val="24"/>
        </w:rPr>
        <w:t xml:space="preserve">’ index measures how much a species’ partner choices deviate from a null expectation based on random use of available partners, ranging from 0 (extreme generalist) to 1 (perfect specialist). </w:t>
      </w:r>
      <w:r>
        <w:rPr>
          <w:rFonts w:ascii="Times New Roman" w:hAnsi="Times New Roman" w:cs="Times New Roman"/>
          <w:sz w:val="24"/>
          <w:szCs w:val="24"/>
        </w:rPr>
        <w:lastRenderedPageBreak/>
        <w:t>Interaction</w:t>
      </w:r>
      <w:r w:rsidR="00186F21">
        <w:rPr>
          <w:rFonts w:ascii="Times New Roman" w:hAnsi="Times New Roman" w:cs="Times New Roman"/>
          <w:sz w:val="24"/>
          <w:szCs w:val="24"/>
        </w:rPr>
        <w:t>-</w:t>
      </w:r>
      <w:r>
        <w:rPr>
          <w:rFonts w:ascii="Times New Roman" w:hAnsi="Times New Roman" w:cs="Times New Roman"/>
          <w:sz w:val="24"/>
          <w:szCs w:val="24"/>
        </w:rPr>
        <w:t>specialists are species with a narrow interaction niche, engaging with only a few partners, which themselves also tend to be specialized (see SM A 2 for the list of habitat</w:t>
      </w:r>
      <w:r w:rsidR="00186F21">
        <w:rPr>
          <w:rFonts w:ascii="Times New Roman" w:hAnsi="Times New Roman" w:cs="Times New Roman"/>
          <w:sz w:val="24"/>
          <w:szCs w:val="24"/>
        </w:rPr>
        <w:t>-</w:t>
      </w:r>
      <w:r>
        <w:rPr>
          <w:rFonts w:ascii="Times New Roman" w:hAnsi="Times New Roman" w:cs="Times New Roman"/>
          <w:sz w:val="24"/>
          <w:szCs w:val="24"/>
        </w:rPr>
        <w:t xml:space="preserve">specialist species and </w:t>
      </w:r>
      <w:r w:rsidRPr="00881363">
        <w:rPr>
          <w:rFonts w:ascii="Times New Roman" w:hAnsi="Times New Roman" w:cs="Times New Roman"/>
          <w:i/>
          <w:iCs/>
          <w:sz w:val="24"/>
          <w:szCs w:val="24"/>
        </w:rPr>
        <w:t>d</w:t>
      </w:r>
      <w:r>
        <w:rPr>
          <w:rFonts w:ascii="Times New Roman" w:hAnsi="Times New Roman" w:cs="Times New Roman"/>
          <w:sz w:val="24"/>
          <w:szCs w:val="24"/>
        </w:rPr>
        <w:t>’ index values per species and country).</w:t>
      </w:r>
    </w:p>
    <w:p w14:paraId="54295A2A" w14:textId="77777777" w:rsidR="00ED3D4B" w:rsidRDefault="00B13086">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Meta-network Structure:</w:t>
      </w:r>
    </w:p>
    <w:p w14:paraId="5174E82E" w14:textId="4DB66F42"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For each country, a meta-network as defined by </w:t>
      </w:r>
      <w:r>
        <w:fldChar w:fldCharType="begin"/>
      </w:r>
      <w:r w:rsidR="000C6146">
        <w:rPr>
          <w:rFonts w:ascii="Times New Roman" w:hAnsi="Times New Roman" w:cs="Times New Roman"/>
          <w:sz w:val="24"/>
          <w:szCs w:val="24"/>
        </w:rPr>
        <w:instrText xml:space="preserve"> ADDIN ZOTERO_ITEM CSL_CITATION {"citationID":"aoFGMD0V","properties":{"formattedCitation":"(Emer {\\i{}et al.} 2018)","plainCitation":"(Emer et al. 2018)","dontUpdate":true,"noteIndex":0},"citationItems":[{"id":2289,"uris":["http://zotero.org/users/11234172/items/Z93SVR46"],"itemData":{"id":2289,"type":"article-journal","abstract":"Mutualistic interactions repeatedly preserved across fragmented landscapes can scale-up to form a spatial metanetwork describing the distribution of interactions across patches. We explored the structure of a bird seed-dispersal (BSD) metanetwork in 16 Neotropical forest fragments to test whether a distinct subset of BSD-interactions may mediate landscape functional connectivity. The metanetwork is interaction-rich, modular and poorly connected, showing high beta-diversity and turnover of species and interactions. Interactions involving large-sized species were lost in fragments &lt; 10 000 ha, indicating a strong filtering by habitat fragmentation on the functional diversity of BSD-interactions. Persistent interactions were performed by small-seeded, fast growing plant species and by generalist, small-bodied bird species able to cross the fragmented landscape. This reduced subset of interactions forms the metanetwork components persisting to defaunation and fragmentation, and may generate long-term deficits of carbon storage while delaying forest regeneration at the landscape level.","container-title":"Ecology Letters","DOI":"10.1111/ele.12909","ISSN":"1461-0248","issue":"4","language":"en","license":"© 2018 John Wiley &amp; Sons Ltd/CNRS","note":"_eprint: https://onlinelibrary.wiley.com/doi/pdf/10.1111/ele.12909","page":"484-493","source":"Wiley Online Library","title":"Seed-dispersal interactions in fragmented landscapes – a metanetwork approach","volume":"21","author":[{"family":"Emer","given":"Carine"},{"family":"Galetti","given":"Mauro"},{"family":"Pizo","given":"Marco A."},{"family":"Guimarães Jr.","given":"Paulo R."},{"family":"Moraes","given":"Suelen"},{"family":"Piratelli","given":"Augusto"},{"family":"Jordano","given":"Pedro"}],"issued":{"date-parts":[["2018"]]}}}],"schema":"https://github.com/citation-style-language/schema/raw/master/csl-citation.json"}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Emer </w:t>
      </w:r>
      <w:r>
        <w:rPr>
          <w:rFonts w:ascii="Times New Roman" w:hAnsi="Times New Roman" w:cs="Times New Roman"/>
          <w:i/>
          <w:iCs/>
          <w:sz w:val="24"/>
          <w:szCs w:val="24"/>
        </w:rPr>
        <w:t>et al.</w:t>
      </w:r>
      <w:r>
        <w:rPr>
          <w:rFonts w:ascii="Times New Roman" w:hAnsi="Times New Roman" w:cs="Times New Roman"/>
          <w:sz w:val="24"/>
          <w:szCs w:val="24"/>
        </w:rPr>
        <w:t xml:space="preserve"> (2018</w:t>
      </w:r>
      <w:r>
        <w:rPr>
          <w:rFonts w:ascii="Times New Roman" w:hAnsi="Times New Roman" w:cs="Times New Roman"/>
          <w:sz w:val="24"/>
          <w:szCs w:val="24"/>
        </w:rPr>
        <w:fldChar w:fldCharType="end"/>
      </w:r>
      <w:r>
        <w:rPr>
          <w:rFonts w:ascii="Times New Roman" w:hAnsi="Times New Roman" w:cs="Times New Roman"/>
          <w:sz w:val="24"/>
          <w:szCs w:val="24"/>
        </w:rPr>
        <w:t xml:space="preserve">) was built by pooling the interactions between plants and wild bees observed over five rounds in each calcareous grassland. Each meta-network consisted of an </w:t>
      </w:r>
      <w:r>
        <w:rPr>
          <w:rFonts w:ascii="Times New Roman" w:hAnsi="Times New Roman" w:cs="Times New Roman"/>
          <w:b/>
          <w:bCs/>
          <w:sz w:val="24"/>
          <w:szCs w:val="24"/>
        </w:rPr>
        <w:t>A</w:t>
      </w:r>
      <w:r>
        <w:rPr>
          <w:rFonts w:ascii="Times New Roman" w:hAnsi="Times New Roman" w:cs="Times New Roman"/>
          <w:i/>
          <w:iCs/>
          <w:sz w:val="24"/>
          <w:szCs w:val="24"/>
        </w:rPr>
        <w:t>ij</w:t>
      </w:r>
      <w:r>
        <w:rPr>
          <w:rFonts w:ascii="Times New Roman" w:hAnsi="Times New Roman" w:cs="Times New Roman"/>
          <w:sz w:val="24"/>
          <w:szCs w:val="24"/>
        </w:rPr>
        <w:t xml:space="preserve"> adjacency matrix, where </w:t>
      </w:r>
      <w:r>
        <w:rPr>
          <w:rFonts w:ascii="Times New Roman" w:hAnsi="Times New Roman" w:cs="Times New Roman"/>
          <w:i/>
          <w:iCs/>
          <w:sz w:val="24"/>
          <w:szCs w:val="24"/>
        </w:rPr>
        <w:t xml:space="preserve">i </w:t>
      </w:r>
      <w:r>
        <w:rPr>
          <w:rFonts w:ascii="Times New Roman" w:hAnsi="Times New Roman" w:cs="Times New Roman"/>
          <w:sz w:val="24"/>
          <w:szCs w:val="24"/>
        </w:rPr>
        <w:t xml:space="preserve">represents the studied calcareous grassland and </w:t>
      </w:r>
      <w:r>
        <w:rPr>
          <w:rFonts w:ascii="Times New Roman" w:hAnsi="Times New Roman" w:cs="Times New Roman"/>
          <w:i/>
          <w:iCs/>
          <w:sz w:val="24"/>
          <w:szCs w:val="24"/>
        </w:rPr>
        <w:t>j</w:t>
      </w:r>
      <w:r>
        <w:rPr>
          <w:rFonts w:ascii="Times New Roman" w:hAnsi="Times New Roman" w:cs="Times New Roman"/>
          <w:sz w:val="24"/>
          <w:szCs w:val="24"/>
        </w:rPr>
        <w:t xml:space="preserve"> the plant and wild bee interaction. The meta-network is weighted by </w:t>
      </w:r>
      <w:r>
        <w:rPr>
          <w:rFonts w:ascii="Times New Roman" w:hAnsi="Times New Roman" w:cs="Times New Roman"/>
          <w:i/>
          <w:iCs/>
          <w:sz w:val="24"/>
          <w:szCs w:val="24"/>
        </w:rPr>
        <w:t>aij</w:t>
      </w:r>
      <w:r>
        <w:rPr>
          <w:rFonts w:ascii="Times New Roman" w:hAnsi="Times New Roman" w:cs="Times New Roman"/>
          <w:sz w:val="24"/>
          <w:szCs w:val="24"/>
        </w:rPr>
        <w:t xml:space="preserve"> elements corresponding to the frequency of interactions </w:t>
      </w:r>
      <w:r>
        <w:rPr>
          <w:rFonts w:ascii="Times New Roman" w:hAnsi="Times New Roman" w:cs="Times New Roman"/>
          <w:i/>
          <w:iCs/>
          <w:sz w:val="24"/>
          <w:szCs w:val="24"/>
        </w:rPr>
        <w:t>j</w:t>
      </w:r>
      <w:r>
        <w:rPr>
          <w:rFonts w:ascii="Times New Roman" w:hAnsi="Times New Roman" w:cs="Times New Roman"/>
          <w:sz w:val="24"/>
          <w:szCs w:val="24"/>
        </w:rPr>
        <w:t xml:space="preserve"> found in site </w:t>
      </w:r>
      <w:r>
        <w:rPr>
          <w:rFonts w:ascii="Times New Roman" w:hAnsi="Times New Roman" w:cs="Times New Roman"/>
          <w:i/>
          <w:iCs/>
          <w:sz w:val="24"/>
          <w:szCs w:val="24"/>
        </w:rPr>
        <w:t>i</w:t>
      </w:r>
      <w:r>
        <w:rPr>
          <w:rFonts w:ascii="Times New Roman" w:hAnsi="Times New Roman" w:cs="Times New Roman"/>
          <w:sz w:val="24"/>
          <w:szCs w:val="24"/>
        </w:rPr>
        <w:t xml:space="preserve">. </w:t>
      </w:r>
      <w:bookmarkStart w:id="6" w:name="_Hlk209383625"/>
      <w:r>
        <w:rPr>
          <w:rFonts w:ascii="Times New Roman" w:hAnsi="Times New Roman" w:cs="Times New Roman"/>
          <w:sz w:val="24"/>
          <w:szCs w:val="24"/>
        </w:rPr>
        <w:t>We assessed the statistical significance of meta-network structure by testing connectance, linkage density, web asymmetry, nestedness, weighted NODF and H</w:t>
      </w:r>
      <w:r w:rsidRPr="00881363">
        <w:rPr>
          <w:rFonts w:ascii="Times New Roman" w:hAnsi="Times New Roman" w:cs="Times New Roman"/>
          <w:sz w:val="24"/>
          <w:szCs w:val="24"/>
          <w:vertAlign w:val="subscript"/>
        </w:rPr>
        <w:t>2</w:t>
      </w:r>
      <w:r>
        <w:rPr>
          <w:rFonts w:ascii="Times New Roman" w:hAnsi="Times New Roman" w:cs="Times New Roman"/>
          <w:sz w:val="24"/>
          <w:szCs w:val="24"/>
        </w:rPr>
        <w:t xml:space="preserve"> </w:t>
      </w:r>
      <w:bookmarkEnd w:id="6"/>
      <w:r>
        <w:rPr>
          <w:rFonts w:ascii="Times New Roman" w:hAnsi="Times New Roman" w:cs="Times New Roman"/>
          <w:sz w:val="24"/>
          <w:szCs w:val="24"/>
        </w:rPr>
        <w:t xml:space="preserve">against </w:t>
      </w:r>
      <w:r w:rsidRPr="009955B7">
        <w:rPr>
          <w:rFonts w:ascii="Times New Roman" w:hAnsi="Times New Roman" w:cs="Times New Roman"/>
          <w:sz w:val="24"/>
          <w:szCs w:val="24"/>
        </w:rPr>
        <w:t>fixed-fixed</w:t>
      </w:r>
      <w:r>
        <w:rPr>
          <w:rFonts w:ascii="Times New Roman" w:hAnsi="Times New Roman" w:cs="Times New Roman"/>
          <w:sz w:val="24"/>
          <w:szCs w:val="24"/>
        </w:rPr>
        <w:t xml:space="preserve"> null models that maintain constant interaction frequency and the total interactions per grassland while changing network structure (quasiswap) </w:t>
      </w:r>
      <w:r w:rsidR="009955B7">
        <w:rPr>
          <w:rFonts w:ascii="Times New Roman" w:hAnsi="Times New Roman" w:cs="Times New Roman"/>
          <w:sz w:val="24"/>
          <w:szCs w:val="24"/>
        </w:rPr>
        <w:fldChar w:fldCharType="begin"/>
      </w:r>
      <w:r w:rsidR="009955B7">
        <w:rPr>
          <w:rFonts w:ascii="Times New Roman" w:hAnsi="Times New Roman" w:cs="Times New Roman"/>
          <w:sz w:val="24"/>
          <w:szCs w:val="24"/>
        </w:rPr>
        <w:instrText xml:space="preserve"> ADDIN ZOTERO_ITEM CSL_CITATION {"citationID":"k1JVKqG9","properties":{"formattedCitation":"(Hardy 2008)","plainCitation":"(Hardy 2008)","noteIndex":0},"citationItems":[{"id":5897,"uris":["http://zotero.org/users/11234172/items/ESVQ5XRX"],"itemData":{"id":5897,"type":"article-journal","abstract":"1 Analyzing the phylogenetic structure of natural communities may illuminate the processes governing the assembly and coexistence of species. For instance, an association between species co-occurrence in local communities and their phylogenetic proximity may reveal the action of habitat filtering, niche conservatism and/or competitive exclusion. 2 Different methods were recently proposed to test such community-wide phylogenetic patterns, based on the phylogenetic clustering or overdispersion of the species in a local community. This provides a much needed framework for addressing long standing questions in community ecology as well as the recent debate on community neutrality. The testing procedures are based on (i) a metric measuring the association between phylogenetic distance and species co-occurrence, and (ii) a data set randomization algorithm providing the distribution of the metric under a given ‘null model’. However, the statistical properties of these approaches are not well-established and their reliability must be tested against simulated data sets. 3 This paper reviews metrics and null models used in previous studies. A ‘locally neutral’ subdivided community model is simulated to produce data sets devoid of phylogenetic structure in the spatial distribution of species. Using these data sets, the consistency of Type I error rates of tests based on 10 metrics combined with nine null models is examined. 4 This study shows that most tests can become liberal (i.e. tests rejecting too often the null hypothesis that only neutral processes structured spatially the local community) when the randomization algorithm breaks down a structure in the original data set unrelated to the null hypothesis to test. Hence, when overall species abundances are distributed non-randomly across the phylogeny or when local abundances are spatially autocorrelated, better statistical performances were achieved by randomization algorithms preserving these structural features. The most reliable randomization algorithm consists of permuting species with similar abundances among the tips of the phylogenetic tree. One metric, RPD-DO, also proved to be robust under most simulated conditions using a variety of null models. 5 Synthesis. Given the suboptimal performances of several tests, attention must be paid to the testing procedures used in future studies. Guidelines are provided to help choosing an adequate test.","container-title":"Journal of Ecology","DOI":"10.1111/j.1365-2745.2008.01421.x","ISSN":"1365-2745","issue":"5","language":"en","license":"© 2008 The Author. Journal compilation © 2008 British Ecological Society","note":"_eprint: https://besjournals.onlinelibrary.wiley.com/doi/pdf/10.1111/j.1365-2745.2008.01421.x","page":"914-926","source":"Wiley Online Library","title":"Testing the spatial phylogenetic structure of local communities: statistical performances of different null models and test statistics on a locally neutral community","title-short":"Testing the spatial phylogenetic structure of local communities","volume":"96","author":[{"family":"Hardy","given":"Olivier J."}],"issued":{"date-parts":[["2008"]]}}}],"schema":"https://github.com/citation-style-language/schema/raw/master/csl-citation.json"} </w:instrText>
      </w:r>
      <w:r w:rsidR="009955B7">
        <w:rPr>
          <w:rFonts w:ascii="Times New Roman" w:hAnsi="Times New Roman" w:cs="Times New Roman"/>
          <w:sz w:val="24"/>
          <w:szCs w:val="24"/>
        </w:rPr>
        <w:fldChar w:fldCharType="separate"/>
      </w:r>
      <w:r w:rsidR="009955B7" w:rsidRPr="009955B7">
        <w:rPr>
          <w:rFonts w:ascii="Times New Roman" w:hAnsi="Times New Roman" w:cs="Times New Roman"/>
          <w:sz w:val="24"/>
        </w:rPr>
        <w:t>(Hardy 2008)</w:t>
      </w:r>
      <w:r w:rsidR="009955B7">
        <w:rPr>
          <w:rFonts w:ascii="Times New Roman" w:hAnsi="Times New Roman" w:cs="Times New Roman"/>
          <w:sz w:val="24"/>
          <w:szCs w:val="24"/>
        </w:rPr>
        <w:fldChar w:fldCharType="end"/>
      </w:r>
      <w:r>
        <w:rPr>
          <w:rFonts w:ascii="Times New Roman" w:hAnsi="Times New Roman" w:cs="Times New Roman"/>
          <w:sz w:val="24"/>
          <w:szCs w:val="24"/>
        </w:rPr>
        <w:t>. Detailed information on the overall structure of each meta-network and null models per country can be found in SM A 3.</w:t>
      </w:r>
    </w:p>
    <w:p w14:paraId="0CFC0E45" w14:textId="48A26EDE" w:rsidR="00ED3D4B" w:rsidRDefault="00B13086">
      <w:pPr>
        <w:spacing w:line="480" w:lineRule="auto"/>
        <w:ind w:firstLine="708"/>
        <w:jc w:val="both"/>
        <w:rPr>
          <w:rFonts w:ascii="Times New Roman" w:hAnsi="Times New Roman" w:cs="Times New Roman"/>
          <w:sz w:val="24"/>
          <w:szCs w:val="24"/>
        </w:rPr>
      </w:pPr>
      <w:bookmarkStart w:id="7" w:name="_Hlk206943052"/>
      <w:r>
        <w:rPr>
          <w:rFonts w:ascii="Times New Roman" w:hAnsi="Times New Roman" w:cs="Times New Roman"/>
          <w:sz w:val="24"/>
          <w:szCs w:val="24"/>
        </w:rPr>
        <w:t>For each meta-network, we calculated six metrics to assess the influence of individual grasslands and their associated interactions on metacommunity cohesion</w:t>
      </w:r>
      <w:bookmarkEnd w:id="7"/>
      <w:r>
        <w:rPr>
          <w:rFonts w:ascii="Times New Roman" w:hAnsi="Times New Roman" w:cs="Times New Roman"/>
          <w:sz w:val="24"/>
          <w:szCs w:val="24"/>
        </w:rPr>
        <w:t xml:space="preserve"> (see Box 1 for details). Grasslands’ eigenvector centrality and closeness centrality were calculated based on the unipartite projection (see Figure 1 panels A, C and E, and </w:t>
      </w:r>
      <w:r>
        <w:rPr>
          <w:rFonts w:ascii="Times New Roman" w:hAnsi="Times New Roman" w:cs="Times New Roman"/>
          <w:i/>
          <w:iCs/>
          <w:sz w:val="24"/>
          <w:szCs w:val="24"/>
        </w:rPr>
        <w:t>Eq.2</w:t>
      </w:r>
      <w:r>
        <w:rPr>
          <w:rFonts w:ascii="Times New Roman" w:hAnsi="Times New Roman" w:cs="Times New Roman"/>
          <w:sz w:val="24"/>
          <w:szCs w:val="24"/>
        </w:rPr>
        <w:t xml:space="preserve">) using the “igraph” package </w:t>
      </w:r>
      <w:r w:rsidR="009955B7">
        <w:rPr>
          <w:rFonts w:ascii="Times New Roman" w:hAnsi="Times New Roman" w:cs="Times New Roman"/>
          <w:sz w:val="24"/>
          <w:szCs w:val="24"/>
        </w:rPr>
        <w:fldChar w:fldCharType="begin"/>
      </w:r>
      <w:r w:rsidR="009955B7">
        <w:rPr>
          <w:rFonts w:ascii="Times New Roman" w:hAnsi="Times New Roman" w:cs="Times New Roman"/>
          <w:sz w:val="24"/>
          <w:szCs w:val="24"/>
        </w:rPr>
        <w:instrText xml:space="preserve"> ADDIN ZOTERO_ITEM CSL_CITATION {"citationID":"UH6n4MZJ","properties":{"formattedCitation":"(Cs\\uc0\\u225{}rdi {\\i{}et al.} 2025)","plainCitation":"(Csárdi et al. 2025)","noteIndex":0},"citationItems":[{"id":4966,"uris":["http://zotero.org/users/11234172/items/EID2MLGW"],"itemData":{"id":4966,"type":"software","abstract":"Features\n\n\n\n\nUse _pv destroy functions to satisfy ASAN checks (#1630).\n\n\n\nUse safe accessor to vector elements (#1633).\n\n\n\nChore\n\n\n\nReplace graph.isomorphic() with isomorphic() (#1583, #1623).\n\n\nDocumentation\n\n\n\n\nConvert plot.common.Rd to roxygen2 (#1424, #1636).\n\n\n\nRemove broken example from graph_from_graphdb() manual page (#1622, #1637).\n\n\n\nDocument argument for NCOL format in read_graph() (#1621).\n\n\n\nMake documentation of disjoint_union() consistent with behavior (#1587, #1641).\n\n\n\nAdd central note about experimental functions (#1624).","note":"DOI: 10.5281/zenodo.14619063","publisher":"Zenodo","source":"Zenodo","title":"igraph for R: R interface of the igraph library for graph theory and network analysis","title-short":"igraph for R","URL":"https://zenodo.org/records/14619063","version":"v2.1.3","author":[{"family":"Csárdi","given":"Gábor"},{"family":"Nepusz","given":"Tamás"},{"family":"Müller","given":"Kirill"},{"family":"Horvát","given":"Szabolcs"},{"family":"Traag","given":"Vincent"},{"family":"Zanini","given":"Fabio"},{"family":"Noom","given":"Daniel"}],"accessed":{"date-parts":[["2025",1,24]]},"issued":{"date-parts":[["2025",1,9]]}}}],"schema":"https://github.com/citation-style-language/schema/raw/master/csl-citation.json"} </w:instrText>
      </w:r>
      <w:r w:rsidR="009955B7">
        <w:rPr>
          <w:rFonts w:ascii="Times New Roman" w:hAnsi="Times New Roman" w:cs="Times New Roman"/>
          <w:sz w:val="24"/>
          <w:szCs w:val="24"/>
        </w:rPr>
        <w:fldChar w:fldCharType="separate"/>
      </w:r>
      <w:r w:rsidR="009955B7" w:rsidRPr="009955B7">
        <w:rPr>
          <w:rFonts w:ascii="Times New Roman" w:hAnsi="Times New Roman" w:cs="Times New Roman"/>
          <w:sz w:val="24"/>
          <w:szCs w:val="24"/>
        </w:rPr>
        <w:t xml:space="preserve">(Csárdi </w:t>
      </w:r>
      <w:r w:rsidR="009955B7" w:rsidRPr="009955B7">
        <w:rPr>
          <w:rFonts w:ascii="Times New Roman" w:hAnsi="Times New Roman" w:cs="Times New Roman"/>
          <w:i/>
          <w:iCs/>
          <w:sz w:val="24"/>
          <w:szCs w:val="24"/>
        </w:rPr>
        <w:t>et al.</w:t>
      </w:r>
      <w:r w:rsidR="009955B7" w:rsidRPr="009955B7">
        <w:rPr>
          <w:rFonts w:ascii="Times New Roman" w:hAnsi="Times New Roman" w:cs="Times New Roman"/>
          <w:sz w:val="24"/>
          <w:szCs w:val="24"/>
        </w:rPr>
        <w:t xml:space="preserve"> 2025)</w:t>
      </w:r>
      <w:r w:rsidR="009955B7">
        <w:rPr>
          <w:rFonts w:ascii="Times New Roman" w:hAnsi="Times New Roman" w:cs="Times New Roman"/>
          <w:sz w:val="24"/>
          <w:szCs w:val="24"/>
        </w:rPr>
        <w:fldChar w:fldCharType="end"/>
      </w:r>
      <w:r>
        <w:rPr>
          <w:rFonts w:ascii="Times New Roman" w:hAnsi="Times New Roman" w:cs="Times New Roman"/>
          <w:sz w:val="24"/>
          <w:szCs w:val="24"/>
        </w:rPr>
        <w:t>. The unipartite projection was preferred because it connects nodes of the same type, in this case grasslands, and allows the calculation of metrics that preserve the structure of the original meta-network while simplifying its relationships. For these two metrics, single site interactions were not taken into consideration. In contrast, interaction richness, single-site interaction richness, its proportion, and apparent influence were calculated using the bipartite projection.</w:t>
      </w:r>
    </w:p>
    <w:p w14:paraId="5222C93D" w14:textId="6CBF7B7A"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Grassland’s apparent influence was calculated based using overlap diagrams </w:t>
      </w:r>
      <w:r>
        <w:fldChar w:fldCharType="begin"/>
      </w:r>
      <w:r w:rsidR="00B217B8">
        <w:rPr>
          <w:rFonts w:ascii="Times New Roman" w:hAnsi="Times New Roman" w:cs="Times New Roman"/>
          <w:sz w:val="24"/>
          <w:szCs w:val="24"/>
        </w:rPr>
        <w:instrText xml:space="preserve"> ADDIN ZOTERO_ITEM CSL_CITATION {"citationID":"m1dzWHIy","properties":{"formattedCitation":"(Muller {\\i{}et al.} 1999)","plainCitation":"(Muller et al. 1999)","dontUpdate":true,"noteIndex":0},"citationItems":[{"id":4953,"uris":["http://zotero.org/users/11234172/items/8DJUVHIC"],"itemData":{"id":4953,"type":"article-journal","abstract":"1. A quantitative parasitoid web was constructed describing the trophic relationships between the community of aphids, parasitoids and secondary parasitoids in an abandoned field in southern England. Root aphids were omitted and secondary parasitoids were associated with aphids rather than primary parasitoids. All aphids, parasitoids and trophic links were expressed in the same units (m−2). Over a 2-year period, separate webs were constructed for every month that aphids and parasitoids were active in the field. 2. Twenty-six species of plants were attacked by 25 species of aphid which were parasitized by 18 species of primary parasitoids. The primary parasitoids were attacked by 28 species of secondary parasitoids, of which 18 directly attacked the still living aphid (hyperparasitoids) and 10 attacked the aphid after mummification (mummy parasitoids). The aphids were attended by three species of ants. 3. Eleven webs were constructed for the months May to September 1994 and May to October 1995. Aphids and primary parasitoids were most abundant and diverse in June, and secondary parasitoids one month later. 4. The ratios of the number of aphid species to the number of species of primary parasitoid and hyperparasitoid were relatively constant across webs, as was the ratio of the number of links involving hyperparasitoids and mummy parasitoids. The ratio of the total number of links to the total number of species increased with web size. 5. The relative abundance of the species in the different webs was well described by a Dirichlet distribution with a common parameter. This implies a gamma distribution of aphid abundances in the field with few common and many rare species. 6. Predator (i.e. parasitoid) overlap graphs were constructed to assess the potential for indirect interactions between aphids. Mummy parasitoids were the most important group linking different aphids. A quantitative overlap diagram was developed to illustrate the potential strengths of indirect linkages. Common aphid species shared few strong, indirect links via primary parasitoids or hyperparasitoids, but could be strongly linked by mummy parasitoids. Symmetrical links were uncommon, and rare species were potentially strongly influenced by the presence of common aphids with which they shared parasitoids. 7. Ant-attended aphids were attacked by fewer species of primary parasitoids and hyperparasitoids than those species not attended by ants. Species of mummy parasitoids attack, on average, approximately twice the number of host species than species of either primary parasitoids or hyperparasitoids.","container-title":"Journal of Animal Ecology","DOI":"10.1046/j.1365-2656.1999.00288.x","ISSN":"1365-2656","issue":"2","language":"en","note":"_eprint: https://onlinelibrary.wiley.com/doi/pdf/10.1046/j.1365-2656.1999.00288.x","page":"346-370","source":"Wiley Online Library","title":"The structure of an aphid–parasitoid community","volume":"68","author":[{"family":"Muller","given":"C. B."},{"family":"Adriaanse","given":"I. C. T."},{"family":"Belshaw","given":"R."},{"family":"Godfray","given":"H. C. J."}],"issued":{"date-parts":[["1999"]]}}}],"schema":"https://github.com/citation-style-language/schema/raw/master/csl-citation.json"} </w:instrText>
      </w:r>
      <w:r>
        <w:rPr>
          <w:rFonts w:ascii="Times New Roman" w:hAnsi="Times New Roman" w:cs="Times New Roman"/>
          <w:sz w:val="24"/>
          <w:szCs w:val="24"/>
        </w:rPr>
        <w:fldChar w:fldCharType="end"/>
      </w:r>
      <w:r w:rsidR="009955B7" w:rsidRPr="009955B7">
        <w:rPr>
          <w:rFonts w:ascii="Times New Roman" w:hAnsi="Times New Roman" w:cs="Times New Roman"/>
          <w:sz w:val="24"/>
          <w:szCs w:val="24"/>
        </w:rPr>
        <w:t xml:space="preserve">(Muller </w:t>
      </w:r>
      <w:r w:rsidR="009955B7" w:rsidRPr="009955B7">
        <w:rPr>
          <w:rFonts w:ascii="Times New Roman" w:hAnsi="Times New Roman" w:cs="Times New Roman"/>
          <w:i/>
          <w:iCs/>
          <w:sz w:val="24"/>
          <w:szCs w:val="24"/>
        </w:rPr>
        <w:t>et al.</w:t>
      </w:r>
      <w:r w:rsidR="009955B7" w:rsidRPr="009955B7">
        <w:rPr>
          <w:rFonts w:ascii="Times New Roman" w:hAnsi="Times New Roman" w:cs="Times New Roman"/>
          <w:sz w:val="24"/>
          <w:szCs w:val="24"/>
        </w:rPr>
        <w:t xml:space="preserve"> 1999)</w:t>
      </w:r>
      <w:r>
        <w:rPr>
          <w:rFonts w:ascii="Times New Roman" w:hAnsi="Times New Roman" w:cs="Times New Roman"/>
          <w:sz w:val="24"/>
          <w:szCs w:val="24"/>
        </w:rPr>
        <w:t>, by calculating the fraction of interactions occurring in a given grassland that were also present in the rest of the grasslands. Technically, this is defined as in the equation (</w:t>
      </w:r>
      <w:r>
        <w:rPr>
          <w:rFonts w:ascii="Times New Roman" w:hAnsi="Times New Roman" w:cs="Times New Roman"/>
          <w:i/>
          <w:iCs/>
          <w:sz w:val="24"/>
          <w:szCs w:val="24"/>
        </w:rPr>
        <w:t>Eq.1</w:t>
      </w:r>
      <w:r>
        <w:rPr>
          <w:rFonts w:ascii="Times New Roman" w:hAnsi="Times New Roman" w:cs="Times New Roman"/>
          <w:sz w:val="24"/>
          <w:szCs w:val="24"/>
        </w:rPr>
        <w:t xml:space="preserve">): </w:t>
      </w:r>
    </w:p>
    <w:p w14:paraId="1B8F09D2" w14:textId="77777777" w:rsidR="00ED3D4B" w:rsidRDefault="00B13086">
      <w:pPr>
        <w:spacing w:line="480" w:lineRule="auto"/>
        <w:jc w:val="center"/>
        <w:rPr>
          <w:rFonts w:ascii="Times New Roman" w:hAnsi="Times New Roman" w:cs="Times New Roman"/>
          <w:sz w:val="24"/>
          <w:szCs w:val="24"/>
        </w:rPr>
      </w:pPr>
      <m:oMathPara>
        <m:oMathParaPr>
          <m:jc m:val="center"/>
        </m:oMathParaPr>
        <m:oMath>
          <m:r>
            <w:rPr>
              <w:rFonts w:ascii="Cambria Math" w:hAnsi="Cambria Math"/>
            </w:rPr>
            <m:t>(Eq.1)ApparentInfluence(</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m:t>
          </m:r>
          <m:f>
            <m:fPr>
              <m:ctrlPr>
                <w:rPr>
                  <w:rFonts w:ascii="Cambria Math" w:hAnsi="Cambria Math"/>
                </w:rPr>
              </m:ctrlPr>
            </m:fPr>
            <m:num>
              <m:nary>
                <m:naryPr>
                  <m:chr m:val="∑"/>
                  <m:supHide m:val="1"/>
                  <m:ctrlPr>
                    <w:rPr>
                      <w:rFonts w:ascii="Cambria Math" w:hAnsi="Cambria Math"/>
                    </w:rPr>
                  </m:ctrlPr>
                </m:naryPr>
                <m:sub>
                  <m:r>
                    <w:rPr>
                      <w:rFonts w:ascii="Cambria Math" w:hAnsi="Cambria Math"/>
                    </w:rPr>
                    <m:t>j≠i</m:t>
                  </m:r>
                </m:sub>
                <m:sup/>
                <m:e>
                  <m:acc>
                    <m:accPr>
                      <m:chr m:val="^"/>
                      <m:ctrlPr>
                        <w:rPr>
                          <w:rFonts w:ascii="Cambria Math" w:hAnsi="Cambria Math"/>
                        </w:rPr>
                      </m:ctrlPr>
                    </m:accPr>
                    <m:e>
                      <m:sSub>
                        <m:sSubPr>
                          <m:ctrlPr>
                            <w:rPr>
                              <w:rFonts w:ascii="Cambria Math" w:hAnsi="Cambria Math"/>
                            </w:rPr>
                          </m:ctrlPr>
                        </m:sSubPr>
                        <m:e>
                          <m:r>
                            <w:rPr>
                              <w:rFonts w:ascii="Cambria Math" w:hAnsi="Cambria Math"/>
                            </w:rPr>
                            <m:t>S</m:t>
                          </m:r>
                        </m:e>
                        <m:sub>
                          <m:r>
                            <w:rPr>
                              <w:rFonts w:ascii="Cambria Math" w:hAnsi="Cambria Math"/>
                            </w:rPr>
                            <m:t>ij</m:t>
                          </m:r>
                        </m:sub>
                      </m:sSub>
                    </m:e>
                  </m:acc>
                </m:e>
              </m:nary>
            </m:num>
            <m:den>
              <m:acc>
                <m:accPr>
                  <m:chr m:val="^"/>
                  <m:ctrlPr>
                    <w:rPr>
                      <w:rFonts w:ascii="Cambria Math" w:hAnsi="Cambria Math"/>
                    </w:rPr>
                  </m:ctrlPr>
                </m:accPr>
                <m:e>
                  <m:sSub>
                    <m:sSubPr>
                      <m:ctrlPr>
                        <w:rPr>
                          <w:rFonts w:ascii="Cambria Math" w:hAnsi="Cambria Math"/>
                        </w:rPr>
                      </m:ctrlPr>
                    </m:sSubPr>
                    <m:e>
                      <m:r>
                        <w:rPr>
                          <w:rFonts w:ascii="Cambria Math" w:hAnsi="Cambria Math"/>
                        </w:rPr>
                        <m:t>S</m:t>
                      </m:r>
                    </m:e>
                    <m:sub>
                      <m:r>
                        <w:rPr>
                          <w:rFonts w:ascii="Cambria Math" w:hAnsi="Cambria Math"/>
                        </w:rPr>
                        <m:t>ii</m:t>
                      </m:r>
                    </m:sub>
                  </m:sSub>
                </m:e>
              </m:acc>
            </m:den>
          </m:f>
        </m:oMath>
      </m:oMathPara>
    </w:p>
    <w:p w14:paraId="2F8D1188" w14:textId="77777777" w:rsidR="00ED3D4B" w:rsidRDefault="00B13086">
      <w:pPr>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where </w:t>
      </w:r>
      <m:oMath>
        <m:acc>
          <m:accPr>
            <m:chr m:val="^"/>
            <m:ctrlPr>
              <w:rPr>
                <w:rFonts w:ascii="Cambria Math" w:hAnsi="Cambria Math"/>
              </w:rPr>
            </m:ctrlPr>
          </m:accPr>
          <m:e>
            <m:sSub>
              <m:sSubPr>
                <m:ctrlPr>
                  <w:rPr>
                    <w:rFonts w:ascii="Cambria Math" w:hAnsi="Cambria Math"/>
                  </w:rPr>
                </m:ctrlPr>
              </m:sSubPr>
              <m:e>
                <m:r>
                  <w:rPr>
                    <w:rFonts w:ascii="Cambria Math" w:hAnsi="Cambria Math"/>
                  </w:rPr>
                  <m:t>S</m:t>
                </m:r>
              </m:e>
              <m:sub>
                <m:r>
                  <w:rPr>
                    <w:rFonts w:ascii="Cambria Math" w:hAnsi="Cambria Math"/>
                  </w:rPr>
                  <m:t>ij</m:t>
                </m:r>
              </m:sub>
            </m:sSub>
          </m:e>
        </m:acc>
      </m:oMath>
      <w:r>
        <w:rPr>
          <w:rFonts w:ascii="Times New Roman" w:eastAsiaTheme="minorEastAsia" w:hAnsi="Times New Roman" w:cs="Times New Roman"/>
          <w:sz w:val="24"/>
          <w:szCs w:val="24"/>
        </w:rPr>
        <w:t xml:space="preserve"> is the unipartite projection of the meta-network, created from the multiplication of the adjacent matrix by its transpose matrix (</w:t>
      </w:r>
      <w:r>
        <w:rPr>
          <w:rFonts w:ascii="Times New Roman" w:eastAsiaTheme="minorEastAsia" w:hAnsi="Times New Roman" w:cs="Times New Roman"/>
          <w:i/>
          <w:iCs/>
          <w:sz w:val="24"/>
          <w:szCs w:val="24"/>
        </w:rPr>
        <w:t>Eq.2</w:t>
      </w:r>
      <w:r>
        <w:rPr>
          <w:rFonts w:ascii="Times New Roman" w:eastAsiaTheme="minorEastAsia" w:hAnsi="Times New Roman" w:cs="Times New Roman"/>
          <w:sz w:val="24"/>
          <w:szCs w:val="24"/>
        </w:rPr>
        <w:t>), i.e.:</w:t>
      </w:r>
    </w:p>
    <w:p w14:paraId="57527553" w14:textId="77777777" w:rsidR="00ED3D4B" w:rsidRDefault="00000000">
      <w:pPr>
        <w:spacing w:line="480" w:lineRule="auto"/>
        <w:jc w:val="center"/>
        <w:rPr>
          <w:rFonts w:ascii="Times New Roman" w:eastAsiaTheme="minorEastAsia" w:hAnsi="Times New Roman" w:cs="Times New Roman"/>
          <w:sz w:val="24"/>
          <w:szCs w:val="24"/>
          <w:lang w:val="es-ES"/>
        </w:rPr>
      </w:pPr>
      <m:oMathPara>
        <m:oMathParaPr>
          <m:jc m:val="center"/>
        </m:oMathParaPr>
        <m:oMath>
          <m:d>
            <m:dPr>
              <m:ctrlPr>
                <w:rPr>
                  <w:rFonts w:ascii="Cambria Math" w:hAnsi="Cambria Math"/>
                </w:rPr>
              </m:ctrlPr>
            </m:dPr>
            <m:e>
              <m:r>
                <w:rPr>
                  <w:rFonts w:ascii="Cambria Math" w:hAnsi="Cambria Math"/>
                </w:rPr>
                <m:t>Eq.2</m:t>
              </m:r>
            </m:e>
          </m:d>
          <m:acc>
            <m:accPr>
              <m:chr m:val="^"/>
              <m:ctrlPr>
                <w:rPr>
                  <w:rFonts w:ascii="Cambria Math" w:hAnsi="Cambria Math"/>
                </w:rPr>
              </m:ctrlPr>
            </m:accPr>
            <m:e>
              <m:sSub>
                <m:sSubPr>
                  <m:ctrlPr>
                    <w:rPr>
                      <w:rFonts w:ascii="Cambria Math" w:hAnsi="Cambria Math"/>
                    </w:rPr>
                  </m:ctrlPr>
                </m:sSubPr>
                <m:e>
                  <m:r>
                    <w:rPr>
                      <w:rFonts w:ascii="Cambria Math" w:hAnsi="Cambria Math"/>
                    </w:rPr>
                    <m:t>S</m:t>
                  </m:r>
                </m:e>
                <m:sub>
                  <m:r>
                    <w:rPr>
                      <w:rFonts w:ascii="Cambria Math" w:hAnsi="Cambria Math"/>
                    </w:rPr>
                    <m:t>ij</m:t>
                  </m:r>
                </m:sub>
              </m:sSub>
            </m:e>
          </m:acc>
          <m:r>
            <w:rPr>
              <w:rFonts w:ascii="Cambria Math" w:hAnsi="Cambria Math"/>
            </w:rPr>
            <m:t>=</m:t>
          </m:r>
          <m:nary>
            <m:naryPr>
              <m:chr m:val="∑"/>
              <m:supHide m:val="1"/>
              <m:ctrlPr>
                <w:rPr>
                  <w:rFonts w:ascii="Cambria Math" w:hAnsi="Cambria Math"/>
                </w:rPr>
              </m:ctrlPr>
            </m:naryPr>
            <m:sub>
              <m:r>
                <w:rPr>
                  <w:rFonts w:ascii="Cambria Math" w:hAnsi="Cambria Math"/>
                </w:rPr>
                <m:t>k</m:t>
              </m:r>
            </m:sub>
            <m:sup/>
            <m:e>
              <m:sSub>
                <m:sSubPr>
                  <m:ctrlPr>
                    <w:rPr>
                      <w:rFonts w:ascii="Cambria Math" w:hAnsi="Cambria Math"/>
                    </w:rPr>
                  </m:ctrlPr>
                </m:sSubPr>
                <m:e>
                  <m:r>
                    <w:rPr>
                      <w:rFonts w:ascii="Cambria Math" w:hAnsi="Cambria Math"/>
                    </w:rPr>
                    <m:t>α</m:t>
                  </m:r>
                </m:e>
                <m:sub>
                  <m:r>
                    <w:rPr>
                      <w:rFonts w:ascii="Cambria Math" w:hAnsi="Cambria Math"/>
                    </w:rPr>
                    <m:t>ik</m:t>
                  </m:r>
                </m:sub>
              </m:sSub>
              <m:sSub>
                <m:sSubPr>
                  <m:ctrlPr>
                    <w:rPr>
                      <w:rFonts w:ascii="Cambria Math" w:hAnsi="Cambria Math"/>
                    </w:rPr>
                  </m:ctrlPr>
                </m:sSubPr>
                <m:e>
                  <m:r>
                    <w:rPr>
                      <w:rFonts w:ascii="Cambria Math" w:hAnsi="Cambria Math"/>
                    </w:rPr>
                    <m:t>α</m:t>
                  </m:r>
                </m:e>
                <m:sub>
                  <m:r>
                    <w:rPr>
                      <w:rFonts w:ascii="Cambria Math" w:hAnsi="Cambria Math"/>
                    </w:rPr>
                    <m:t>kj</m:t>
                  </m:r>
                </m:sub>
              </m:sSub>
            </m:e>
          </m:nary>
        </m:oMath>
      </m:oMathPara>
    </w:p>
    <w:p w14:paraId="6B3A3374" w14:textId="77777777" w:rsidR="00ED3D4B" w:rsidRDefault="00B13086">
      <w:pPr>
        <w:spacing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α represents the adjacent matrix of the meta-network. </w:t>
      </w:r>
    </w:p>
    <w:p w14:paraId="32D4E765" w14:textId="1DF4C57A"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Additionally, to investigate variation in interactions among grasslands and test for spatial autocorrelation, we calculated several beta-diversity indices (Sørensen dissimilarity index, Simpson dissimilarity and nestedness-resultant fraction of Sørensen index) </w:t>
      </w:r>
      <w:r w:rsidR="00F01CD8">
        <w:rPr>
          <w:rFonts w:ascii="Times New Roman" w:hAnsi="Times New Roman" w:cs="Times New Roman"/>
          <w:sz w:val="24"/>
          <w:szCs w:val="24"/>
        </w:rPr>
        <w:t xml:space="preserve">using “betapart” package </w:t>
      </w:r>
      <w:r w:rsidR="00F01CD8">
        <w:rPr>
          <w:rFonts w:ascii="Times New Roman" w:hAnsi="Times New Roman" w:cs="Times New Roman"/>
          <w:sz w:val="24"/>
          <w:szCs w:val="24"/>
        </w:rPr>
        <w:fldChar w:fldCharType="begin"/>
      </w:r>
      <w:r w:rsidR="00F01CD8">
        <w:rPr>
          <w:rFonts w:ascii="Times New Roman" w:hAnsi="Times New Roman" w:cs="Times New Roman"/>
          <w:sz w:val="24"/>
          <w:szCs w:val="24"/>
        </w:rPr>
        <w:instrText xml:space="preserve"> ADDIN ZOTERO_ITEM CSL_CITATION {"citationID":"DR8qkoBA","properties":{"formattedCitation":"(Baselga {\\i{}et al.} 2012)","plainCitation":"(Baselga et al. 2012)","noteIndex":0},"citationItems":[{"id":4962,"uris":["http://zotero.org/users/11234172/items/LSQGEH2U"],"itemData":{"id":4962,"type":"dataset","abstract":"Functions to compute pair-wise dissimilarities (distance matrices) and multiple-site dissimilarities, separating the turnover and nestedness-resultant components of taxonomic (incidence and abundance based), functional and phylogenetic beta diversity.","DOI":"10.32614/CRAN.package.betapart","language":"en","note":"Institution: Comprehensive R Archive Network\npage: 1.6","source":"DOI.org (Crossref)","title":"betapart: Partitioning Beta Diversity into Turnover and Nestedness Components","title-short":"betapart","URL":"https://CRAN.R-project.org/package=betapart","author":[{"family":"Baselga","given":"Andres"},{"family":"Orme","given":"David"},{"family":"Villeger","given":"Sebastien"},{"family":"De Bortoli","given":"Julien"},{"family":"Leprieur","given":"Fabien"},{"family":"Logez","given":"Maxime"},{"family":"Martinez-Santalla","given":"Sara"},{"family":"Martin-Devasa","given":"Ramiro"},{"family":"Gomez-Rodriguez","given":"Carola"},{"family":"Crujeiras","given":"Rosa M."}],"accessed":{"date-parts":[["2025",1,24]]},"issued":{"date-parts":[["2012",3,2]]}}}],"schema":"https://github.com/citation-style-language/schema/raw/master/csl-citation.json"} </w:instrText>
      </w:r>
      <w:r w:rsidR="00F01CD8">
        <w:rPr>
          <w:rFonts w:ascii="Times New Roman" w:hAnsi="Times New Roman" w:cs="Times New Roman"/>
          <w:sz w:val="24"/>
          <w:szCs w:val="24"/>
        </w:rPr>
        <w:fldChar w:fldCharType="separate"/>
      </w:r>
      <w:r w:rsidR="00F01CD8" w:rsidRPr="00F01CD8">
        <w:rPr>
          <w:rFonts w:ascii="Times New Roman" w:hAnsi="Times New Roman" w:cs="Times New Roman"/>
          <w:sz w:val="24"/>
          <w:szCs w:val="24"/>
        </w:rPr>
        <w:t xml:space="preserve">(Baselga </w:t>
      </w:r>
      <w:r w:rsidR="00F01CD8" w:rsidRPr="00F01CD8">
        <w:rPr>
          <w:rFonts w:ascii="Times New Roman" w:hAnsi="Times New Roman" w:cs="Times New Roman"/>
          <w:i/>
          <w:iCs/>
          <w:sz w:val="24"/>
          <w:szCs w:val="24"/>
        </w:rPr>
        <w:t>et al.</w:t>
      </w:r>
      <w:r w:rsidR="00F01CD8" w:rsidRPr="00F01CD8">
        <w:rPr>
          <w:rFonts w:ascii="Times New Roman" w:hAnsi="Times New Roman" w:cs="Times New Roman"/>
          <w:sz w:val="24"/>
          <w:szCs w:val="24"/>
        </w:rPr>
        <w:t xml:space="preserve"> 2012)</w:t>
      </w:r>
      <w:r w:rsidR="00F01CD8">
        <w:rPr>
          <w:rFonts w:ascii="Times New Roman" w:hAnsi="Times New Roman" w:cs="Times New Roman"/>
          <w:sz w:val="24"/>
          <w:szCs w:val="24"/>
        </w:rPr>
        <w:fldChar w:fldCharType="end"/>
      </w:r>
      <w:r w:rsidR="00F01CD8">
        <w:rPr>
          <w:rFonts w:ascii="Times New Roman" w:hAnsi="Times New Roman" w:cs="Times New Roman"/>
          <w:sz w:val="24"/>
          <w:szCs w:val="24"/>
        </w:rPr>
        <w:t xml:space="preserve"> </w:t>
      </w:r>
      <w:r>
        <w:rPr>
          <w:rFonts w:ascii="Times New Roman" w:hAnsi="Times New Roman" w:cs="Times New Roman"/>
          <w:sz w:val="24"/>
          <w:szCs w:val="24"/>
        </w:rPr>
        <w:t>and tested the</w:t>
      </w:r>
      <w:r w:rsidR="00881363">
        <w:rPr>
          <w:rFonts w:ascii="Times New Roman" w:hAnsi="Times New Roman" w:cs="Times New Roman"/>
          <w:sz w:val="24"/>
          <w:szCs w:val="24"/>
        </w:rPr>
        <w:t xml:space="preserve"> </w:t>
      </w:r>
      <w:r>
        <w:rPr>
          <w:rFonts w:ascii="Times New Roman" w:hAnsi="Times New Roman" w:cs="Times New Roman"/>
          <w:sz w:val="24"/>
          <w:szCs w:val="24"/>
        </w:rPr>
        <w:t xml:space="preserve">correlation </w:t>
      </w:r>
      <w:r w:rsidR="00881363">
        <w:rPr>
          <w:rFonts w:ascii="Times New Roman" w:hAnsi="Times New Roman" w:cs="Times New Roman"/>
          <w:sz w:val="24"/>
          <w:szCs w:val="24"/>
        </w:rPr>
        <w:t xml:space="preserve">of </w:t>
      </w:r>
      <w:r w:rsidR="006352E6">
        <w:rPr>
          <w:rFonts w:ascii="Times New Roman" w:hAnsi="Times New Roman" w:cs="Times New Roman"/>
          <w:sz w:val="24"/>
          <w:szCs w:val="24"/>
        </w:rPr>
        <w:t xml:space="preserve">Sørensen dissimilarity </w:t>
      </w:r>
      <w:r>
        <w:rPr>
          <w:rFonts w:ascii="Times New Roman" w:hAnsi="Times New Roman" w:cs="Times New Roman"/>
          <w:sz w:val="24"/>
          <w:szCs w:val="24"/>
        </w:rPr>
        <w:t xml:space="preserve">with geographical distances per country using a Mantel test </w:t>
      </w:r>
      <w:r w:rsidR="00F01CD8">
        <w:rPr>
          <w:rFonts w:ascii="Times New Roman" w:hAnsi="Times New Roman" w:cs="Times New Roman"/>
          <w:sz w:val="24"/>
          <w:szCs w:val="24"/>
        </w:rPr>
        <w:fldChar w:fldCharType="begin"/>
      </w:r>
      <w:r w:rsidR="00F01CD8">
        <w:rPr>
          <w:rFonts w:ascii="Times New Roman" w:hAnsi="Times New Roman" w:cs="Times New Roman"/>
          <w:sz w:val="24"/>
          <w:szCs w:val="24"/>
        </w:rPr>
        <w:instrText xml:space="preserve"> ADDIN ZOTERO_ITEM CSL_CITATION {"citationID":"bO9Erpyn","properties":{"formattedCitation":"(Mantel 1967)","plainCitation":"(Mantel 1967)","noteIndex":0},"citationItems":[{"id":5907,"uris":["http://zotero.org/users/11234172/items/WHZEXR4M"],"itemData":{"id":5907,"type":"article-journal","container-title":"Cancer Research","ISSN":"0008-5472","issue":"2","journalAbbreviation":"Cancer Res","language":"eng","note":"PMID: 6018555","page":"209-220","source":"PubMed","title":"The detection of disease clustering and a generalized regression approach","volume":"27","author":[{"family":"Mantel","given":"N."}],"issued":{"date-parts":[["1967",2]]}}}],"schema":"https://github.com/citation-style-language/schema/raw/master/csl-citation.json"} </w:instrText>
      </w:r>
      <w:r w:rsidR="00F01CD8">
        <w:rPr>
          <w:rFonts w:ascii="Times New Roman" w:hAnsi="Times New Roman" w:cs="Times New Roman"/>
          <w:sz w:val="24"/>
          <w:szCs w:val="24"/>
        </w:rPr>
        <w:fldChar w:fldCharType="separate"/>
      </w:r>
      <w:r w:rsidR="00F01CD8" w:rsidRPr="00F01CD8">
        <w:rPr>
          <w:rFonts w:ascii="Times New Roman" w:hAnsi="Times New Roman" w:cs="Times New Roman"/>
          <w:sz w:val="24"/>
        </w:rPr>
        <w:t>(Mantel 1967)</w:t>
      </w:r>
      <w:r w:rsidR="00F01CD8">
        <w:rPr>
          <w:rFonts w:ascii="Times New Roman" w:hAnsi="Times New Roman" w:cs="Times New Roman"/>
          <w:sz w:val="24"/>
          <w:szCs w:val="24"/>
        </w:rPr>
        <w:fldChar w:fldCharType="end"/>
      </w:r>
      <w:r w:rsidR="00F01CD8" w:rsidRPr="00F01CD8">
        <w:rPr>
          <w:rFonts w:ascii="Times New Roman" w:hAnsi="Times New Roman" w:cs="Times New Roman"/>
          <w:sz w:val="24"/>
          <w:szCs w:val="24"/>
        </w:rPr>
        <w:t>.</w:t>
      </w:r>
      <w:r>
        <w:rPr>
          <w:rFonts w:ascii="Times New Roman" w:hAnsi="Times New Roman" w:cs="Times New Roman"/>
          <w:sz w:val="24"/>
          <w:szCs w:val="24"/>
        </w:rPr>
        <w:t xml:space="preserve"> In all cases, the correlation</w:t>
      </w:r>
      <w:r w:rsidR="006352E6">
        <w:rPr>
          <w:rFonts w:ascii="Times New Roman" w:hAnsi="Times New Roman" w:cs="Times New Roman"/>
          <w:sz w:val="24"/>
          <w:szCs w:val="24"/>
        </w:rPr>
        <w:t>s</w:t>
      </w:r>
      <w:r>
        <w:rPr>
          <w:rFonts w:ascii="Times New Roman" w:hAnsi="Times New Roman" w:cs="Times New Roman"/>
          <w:sz w:val="24"/>
          <w:szCs w:val="24"/>
        </w:rPr>
        <w:t xml:space="preserve"> were non-significant. Thus, we considered spatial autocorrelation to play a minor role in our study and did not include the spatial component in any other analysis (see SM A 4 for more detail).</w:t>
      </w:r>
    </w:p>
    <w:p w14:paraId="37FFA827" w14:textId="77777777" w:rsidR="00ED3D4B" w:rsidRDefault="00B13086">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Measuring habitat quality:</w:t>
      </w:r>
    </w:p>
    <w:p w14:paraId="65E2A746" w14:textId="0E45E93E" w:rsidR="00ED3D4B" w:rsidRDefault="00B1308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To assess local habitat quality, we measured the grasslands´ area, woody cover, flower cover and diversity of insect-pollinated plant species. To measure woody cover in Germany and Estonia, we calculated the average proportion of shrubs and trees among five circular subplots of 5 m radius capturing the greatest grassland heterogeneity. In Spain, woody cover was estimated as the proportion of area within a 50-meter buffer from the grassland’s central point. Since small shrubs </w:t>
      </w:r>
      <w:r>
        <w:rPr>
          <w:rFonts w:ascii="Times New Roman" w:hAnsi="Times New Roman" w:cs="Times New Roman"/>
          <w:sz w:val="24"/>
          <w:szCs w:val="24"/>
        </w:rPr>
        <w:lastRenderedPageBreak/>
        <w:t>(&lt;50 cm)</w:t>
      </w:r>
      <w:r>
        <w:t xml:space="preserve"> </w:t>
      </w:r>
      <w:r>
        <w:rPr>
          <w:rFonts w:ascii="Times New Roman" w:hAnsi="Times New Roman" w:cs="Times New Roman"/>
          <w:sz w:val="24"/>
          <w:szCs w:val="24"/>
        </w:rPr>
        <w:t xml:space="preserve">can be present in calcareous grasslands in Spain (even if they are grazed) and provided floral resources, they were excluded from the woody cover assessment. Moreover, after each interaction sampling, we counted the number of flower heads per plant species in each transect </w:t>
      </w:r>
      <w:r>
        <w:fldChar w:fldCharType="begin"/>
      </w:r>
      <w:r>
        <w:rPr>
          <w:rFonts w:ascii="Times New Roman" w:hAnsi="Times New Roman" w:cs="Times New Roman"/>
          <w:sz w:val="24"/>
          <w:szCs w:val="24"/>
        </w:rPr>
        <w:instrText>ADDIN ZOTERO_ITEM CSL_CITATION {"citationID":"mQBBe9ju","properties":{"formattedCitation":"(Scheper {\\i{}et al.} 2015)","plainCitation":"(Scheper et al. 2015)","noteIndex":0},"citationItems":[{"id":5680,"uris":["http://zotero.org/users/11234172/items/P2XWYGM8"],"itemData":{"id":5680,"type":"article-journal","abstract":"Growing evidence for declines in wild bees calls for the development and implementation of effective mitigation measures. Enhancing floral resources is a widely accepted measure for promoting bees in agricultural landscapes, but effectiveness varies considerably between landscapes and regions. We hypothesize that this variation is mainly driven by a combination of the direct effects of measures on local floral resources and the availability of floral resources in the surrounding landscape. To test this, we established wildflower strips in four European countries, using the same seed mixture of forage plants specifically targeted at bees. We used a before–after control–impact approach to analyse the impacts of wildflower strips on bumblebees, solitary bees and Red List species and examined to what extent effects were affected by local and landscape-wide floral resource availability, land-use intensity and landscape complexity. Wildflower strips generally enhanced local bee abundance and richness, including Red-listed species. Effectiveness of the wildflower strips increased with the local contrast in flower richness created by the strips and furthermore depended on the availability of floral resources in the surrounding landscape, with different patterns for solitary bees and bumblebees. Effects on solitary bees appeared to decrease with increasing amount of late-season alternative floral resources in the landscape, whereas effects on bumblebees increased with increasing early-season landscape-wide floral resource availability. Synthesis and applications. Our study shows that the effects of wildflower strips on bees are largely driven by the extent to which local flower richness is increased. The effectiveness of this measure could therefore be enhanced by maximizing the number of bee forage species in seed mixtures, and by management regimes that effectively maintain flower richness in the strips through the years. In addition, for bumblebees specifically, our study highlights the importance of a continuous supply of food resources throughout the season. Measures that enhance early-season landscape-wide floral resource availability, such as the cultivation of oilseed rape, can benefit bumblebees by providing the essential resources for colony establishment and growth in spring. Further research is required to determine whether, and under what conditions, wildflower strips result in actual population-level effects.","container-title":"Journal of Applied Ecology","DOI":"10.1111/1365-2664.12479","ISSN":"1365-2664","issue":"5","language":"en","license":"© 2015 The Authors. Journal of Applied Ecology © 2015 British Ecological Society","note":"_eprint: https://besjournals.onlinelibrary.wiley.com/doi/pdf/10.1111/1365-2664.12479","page":"1165-1175","source":"Wiley Online Library","title":"Local and landscape-level floral resources explain effects of wildflower strips on wild bees across four European countries","volume":"52","author":[{"family":"Scheper","given":"Jeroen"},{"family":"Bommarco","given":"Riccardo"},{"family":"Holzschuh","given":"Andrea"},{"family":"Potts","given":"Simon G."},{"family":"Riedinger","given":"Verena"},{"family":"Roberts","given":"Stuart P. M."},{"family":"Rundlöf","given":"Maj"},{"family":"Smith","given":"Henrik G."},{"family":"Steffan-Dewenter","given":"Ingolf"},{"family":"Wickens","given":"Jennifer B."},{"family":"Wickens","given":"Victoria J."},{"family":"Kleijn","given":"David"}],"issued":{"date-parts":[["2015"]]}}}],"schema":"https://github.com/citation-style-language/schema/raw/master/csl-citation.json"}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(Scheper </w:t>
      </w:r>
      <w:r>
        <w:rPr>
          <w:rFonts w:ascii="Times New Roman" w:hAnsi="Times New Roman" w:cs="Times New Roman"/>
          <w:i/>
          <w:iCs/>
          <w:sz w:val="24"/>
          <w:szCs w:val="24"/>
        </w:rPr>
        <w:t>et al.</w:t>
      </w:r>
      <w:r>
        <w:rPr>
          <w:rFonts w:ascii="Times New Roman" w:hAnsi="Times New Roman" w:cs="Times New Roman"/>
          <w:sz w:val="24"/>
          <w:szCs w:val="24"/>
        </w:rPr>
        <w:t xml:space="preserve"> 2015)</w:t>
      </w:r>
      <w:r>
        <w:rPr>
          <w:rFonts w:ascii="Times New Roman" w:hAnsi="Times New Roman" w:cs="Times New Roman"/>
          <w:sz w:val="24"/>
          <w:szCs w:val="24"/>
        </w:rPr>
        <w:fldChar w:fldCharType="end"/>
      </w:r>
      <w:r>
        <w:rPr>
          <w:rFonts w:ascii="Times New Roman" w:hAnsi="Times New Roman" w:cs="Times New Roman"/>
          <w:sz w:val="24"/>
          <w:szCs w:val="24"/>
        </w:rPr>
        <w:t xml:space="preserve">. Complex inflorescences as of Asteraceae were treated as one flower unit. For each plant species, the diameter of 10 flower units from different individuals was measured to obtain the mean area of species’ flower unit. Missing values were added from </w:t>
      </w:r>
      <w:r>
        <w:fldChar w:fldCharType="begin"/>
      </w:r>
      <w:r>
        <w:rPr>
          <w:rFonts w:ascii="Times New Roman" w:hAnsi="Times New Roman" w:cs="Times New Roman"/>
          <w:sz w:val="24"/>
          <w:szCs w:val="24"/>
        </w:rPr>
        <w:instrText>ADDIN ZOTERO_ITEM CSL_CITATION {"citationID":"ERcoU0ub","properties":{"formattedCitation":"(Libr\\uc0\\u225{}n-Embid 2021)","plainCitation":"(Librán-Embid 2021)","noteIndex":0},"citationItems":[{"id":5685,"uris":["http://zotero.org/users/11234172/items/UI7727B4"],"itemData":{"id":5685,"type":"thesis","abstract":"Understanding the dynamics of species interactions under the threats of habitat loss and fragmentation can be key to develop measures preventing further degradation of natural and agricultural systems. Agroecological knowledge and state of the art technologies can help to conciliate the often-discrepant objectives of biodiversity conservation and agricultural production. Specifically, information on the characteristics of plant-pollinator networks in agroecosystems can unveil the most efficient strategies to preserve ecosystem functionality and pollination services provision.\nIn chapter 1, I focused on the contributions of new technology to the objective of turning agricultural landscapes increasingly compatible with biodiversity. I reviewed the applications of unmanned aerial vehicles (UAVs) in ecology and precision agriculture. I 1) identified existing applications, 2) discussed limitations and advantages of the current technology, 3) highlighted knowledge gaps and 4) proposed new applications.\nIn chapter 2, I studied the characteristics of a plant-pollinator metanetwork of calcareous grasslands embedded in an agricultural matrix. I characterized and discussed the structural properties of the network that determine its stability and resilience to perturbations. Furthermore, I identified the traits of the most central nodes in the network. I found that the metanetwork was significantly more modular and less connected than expected by chance. This reflects the existence of many fragment-unique interactions and is an indication of poor metanetwork stability. I also demonstrated that habitat size and the diversity of land cover types in the surroundings of a grassland fragment are significant predictors of site centrality. Thus, these features can help to identify the most important fragments for metanetwork cohesiveness. Additionally, I found that the centrality of interactions depends on the pollinator size, species identity and also on the plant’s habitat specialization.\nIn chapter 3, I compared plant-pollinator networks constructed with flower visitation data to networks constructed with pollen transport data. The level of specialization of pollen transport networks was higher than that of visitation networks, as half of the interactions in the visitation networks did not occur in the pollen transport networks. This highlights the fact that visitation does not necessarily imply pollen transport, and I discussed its implications for the conservation of pollination. Considering that high specialization is known to be associated with low stability in mutualistic networks, this result has important implications for conservation. According to these findings, traditional studies on plant-pollinator networks, based on visitation data, would overestimate the stability of pollination networks. Additionally, I identified that almost a third of the total number of interactions found are difficult to spot given their low frequency, occurring only in the pollen transport networks. Finally, I found positive effects of landscape diversity on the total number and proportion of single-fragment interactions for pollen transport, but not for visitation networks.\nIn conclusion, the protection of large and small calcareous grasslands as well as the enhancement of landscape heterogeneity was found to be essential for the maintenance of the plant-pollinator metanetwork. Furthermore, the importance of interactions among habitat specialist plants and large-bodied generalist pollinators appeared to be fundamental to connect the plant-pollinator metanetwork. Nonetheless, small solitary bees and the habitat specialist butterfly Polyommatus coridon also played a central role for the plant-pollinator networks in calcareous grasslands. By identifying the most central plants, pollinators and interactions at the metacommunity level, the information reported in this work can inform tailored management measures to protect them. Among others, I suggest considering plant species’ roles in the metanetwork when applying conservation measures, such as flower strips, and landscape coordination among farmers to increase crop diversification. Moreover, I showed the great potential of UAVs to contribute to such conservation measures and to biodiversity management in agricultural landscapes. UAVs can assist in diverse tasks such as quantifying encroachment of calcareous grasslands and plant diversity monitoring. Additionally, they can contribute to farmer´s cropland management and agri-environmental schemes surveillance by governmental agencies.","genre":"doctoralThesis","language":"eng","license":"http://creativecommons.org/licenses/by-nc-nd/4.0/","note":"Accepted: 2021-04-23T13:51:04Z\nISBN: 9781755888518\nDOI: 10.53846/goediss-8545","source":"ediss.uni-goettingen.de","title":"Plant-pollinator networks in fragmented calcareous grasslands","URL":"https://ediss.uni-goettingen.de/handle/21.11130/00-1735-0000-0008-5806-F","author":[{"family":"Librán-Embid","given":"Felipe"}],"accessed":{"date-parts":[["2025",8,30]]},"issued":{"date-parts":[["2021",4,23]]}}}],"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(Librán-Embid 2021)</w:t>
      </w:r>
      <w:r>
        <w:rPr>
          <w:rFonts w:ascii="Times New Roman" w:hAnsi="Times New Roman" w:cs="Times New Roman"/>
          <w:sz w:val="24"/>
          <w:szCs w:val="24"/>
        </w:rPr>
        <w:fldChar w:fldCharType="end"/>
      </w:r>
      <w:r>
        <w:rPr>
          <w:rFonts w:ascii="Times New Roman" w:hAnsi="Times New Roman" w:cs="Times New Roman"/>
          <w:sz w:val="24"/>
          <w:szCs w:val="24"/>
        </w:rPr>
        <w:t xml:space="preserve"> and a database maintained by the Plant Ecology and Nature Conservation group (Wageningen University and Research). Number of flower units was multiplied by the average flower unit area for each plant species. To get the flower cover per grassland, we summed the flower cover of all plant species found within the respective transects across all rounds. </w:t>
      </w:r>
    </w:p>
    <w:p w14:paraId="7F72A614" w14:textId="77777777" w:rsidR="00ED3D4B" w:rsidRDefault="00B13086">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Landscape composition and habitat connectivity:</w:t>
      </w:r>
    </w:p>
    <w:p w14:paraId="6C5A4A3E" w14:textId="7CBEDE36" w:rsidR="00ED3D4B" w:rsidRDefault="00B1308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characterize the compositional heterogeneity and connectivity of the landscape, we focused on the area covered by other calcareous grasslands and AES in the surroundings. We estimated the percentage of area covered by other calcareous grasslands within a 1 km buffer around the border of each studied grassland, as a proxy of grassland´s landscape connectivity. Areas under AES were also calculated as landscape percentages in the same buffers and categorized based on their implementation purpose. AES </w:t>
      </w:r>
      <w:r w:rsidR="003F7D2E">
        <w:rPr>
          <w:rFonts w:ascii="Times New Roman" w:hAnsi="Times New Roman" w:cs="Times New Roman"/>
          <w:sz w:val="24"/>
          <w:szCs w:val="24"/>
        </w:rPr>
        <w:t xml:space="preserve">integrated into </w:t>
      </w:r>
      <w:r>
        <w:rPr>
          <w:rFonts w:ascii="Times New Roman" w:hAnsi="Times New Roman" w:cs="Times New Roman"/>
          <w:sz w:val="24"/>
          <w:szCs w:val="24"/>
        </w:rPr>
        <w:t xml:space="preserve">crop production (e.g. organic farming) were classified as productive AES, whereas AES implemented as set aside measures that left land uncultivated (such as fallows) were considered non-productive AES (see table S12 to check the specific AES per category and country). These categories are justified by their contrasting ecological effectiveness </w:t>
      </w:r>
      <w:r>
        <w:fldChar w:fldCharType="begin"/>
      </w:r>
      <w:r>
        <w:rPr>
          <w:rFonts w:ascii="Times New Roman" w:hAnsi="Times New Roman" w:cs="Times New Roman"/>
          <w:sz w:val="24"/>
          <w:szCs w:val="24"/>
        </w:rPr>
        <w:instrText>ADDIN ZOTERO_ITEM CSL_CITATION {"citationID":"YOdkVF7K","properties":{"formattedCitation":"(Bat\\uc0\\u225{}ry {\\i{}et al.} 2015)","plainCitation":"(Batáry et al. 2015)","noteIndex":0},"citationItems":[{"id":133,"uris":["http://zotero.org/users/11234172/items/PZES9GWL"],"itemData":{"id":133,"type":"article-journal","abstract":"Over half of the European landscape is under agricultural management and has been for millennia. Many species and ecosystems of conservation concern in Europe depend on agricultural management and are showing ongoing declines. Agri-environment schemes (AES) are designed partly to address this. They are a major source of nature conservation funding within the European Union (EU) and the highest conservation expenditure in Europe. We reviewed the structure of current AES across Europe. Since a 2003 review questioned the overall effectiveness of AES for biodiversity, there has been a plethora of case studies and meta-analyses examining their effectiveness. Most syntheses demonstrate general increases in farmland biodiversity in response to AES, with the size of the effect depending on the structure and management of the surrounding landscape. This is important in the light of successive EU enlargement and ongoing reforms of AES. We examined the change in effect size over time by merging the data sets of 3 recent meta-analyses and found that schemes implemented after revision of the EU's agri-environmental programs in 2007 were not more effective than schemes implemented before revision. Furthermore, schemes aimed at areas out of production (such as field margins and hedgerows) are more effective at enhancing species richness than those aimed at productive areas (such as arable crops or grasslands). Outstanding research questions include whether AES enhance ecosystem services, whether they are more effective in agriculturally marginal areas than in intensively farmed areas, whether they are more or less cost-effective for farmland biodiversity than protected areas, and how much their effectiveness is influenced by farmer training and advice? The general lesson from the European experience is that AES can be effective for conserving wildlife on farmland, but they are expensive and need to be carefully designed and targeted.","container-title":"Conservation Biology","DOI":"10.1111/cobi.12536","ISSN":"1523-1739","issue":"4","language":"pt","license":"© 2015 The Authors. Conservation Biology published by Wiley Periodicals, Inc. on behalf of Society for Conservation Biology","note":"_eprint: https://onlinelibrary.wiley.com/doi/pdf/10.1111/cobi.12536","page":"1006-1016","source":"Wiley Online Library","title":"The role of agri-environment schemes in conservation and environmental management","volume":"29","author":[{"family":"Batáry","given":"Péter"},{"family":"Dicks","given":"Lynn V."},{"family":"Kleijn","given":"David"},{"family":"Sutherland","given":"William J."}],"issued":{"date-parts":[["2015"]]}}}],"schema":"https://github.com/citation-style-language/schema/raw/master/csl-citation.json"}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(Batáry </w:t>
      </w:r>
      <w:r>
        <w:rPr>
          <w:rFonts w:ascii="Times New Roman" w:hAnsi="Times New Roman" w:cs="Times New Roman"/>
          <w:i/>
          <w:iCs/>
          <w:sz w:val="24"/>
          <w:szCs w:val="24"/>
        </w:rPr>
        <w:t>et al.</w:t>
      </w:r>
      <w:r>
        <w:rPr>
          <w:rFonts w:ascii="Times New Roman" w:hAnsi="Times New Roman" w:cs="Times New Roman"/>
          <w:sz w:val="24"/>
          <w:szCs w:val="24"/>
        </w:rPr>
        <w:t xml:space="preserve"> 2015)</w:t>
      </w:r>
      <w:r>
        <w:rPr>
          <w:rFonts w:ascii="Times New Roman" w:hAnsi="Times New Roman" w:cs="Times New Roman"/>
          <w:sz w:val="24"/>
          <w:szCs w:val="24"/>
        </w:rPr>
        <w:fldChar w:fldCharType="end"/>
      </w:r>
      <w:r>
        <w:rPr>
          <w:rFonts w:ascii="Times New Roman" w:hAnsi="Times New Roman" w:cs="Times New Roman"/>
          <w:sz w:val="24"/>
          <w:szCs w:val="24"/>
        </w:rPr>
        <w:t xml:space="preserve"> and the different willingness for uptake by farmers </w:t>
      </w:r>
      <w:r>
        <w:fldChar w:fldCharType="begin"/>
      </w:r>
      <w:r>
        <w:rPr>
          <w:rFonts w:ascii="Times New Roman" w:hAnsi="Times New Roman" w:cs="Times New Roman"/>
          <w:sz w:val="24"/>
          <w:szCs w:val="24"/>
        </w:rPr>
        <w:instrText>ADDIN ZOTERO_ITEM CSL_CITATION {"citationID":"HxqgxRL9","properties":{"formattedCitation":"(Kleijn {\\i{}et al.} 2019)","plainCitation":"(Kleijn et al. 2019)","noteIndex":0},"citationItems":[{"id":52,"uris":["http://zotero.org/users/11234172/items/IC849E6U"],"itemData":{"id":52,"type":"article-journal","abstract":"There is worldwide concern about the environmental costs of conventional intensification of agriculture. Growing evidence suggests that ecological intensification of mainstream farming can safeguard food production, with accompanying environmental benefits; however, the approach is rarely adopted by farmers. Our review of the evidence for replacing external inputs with ecosystem services shows that scientists tend to focus on processes (e.g., pollination) rather than outcomes (e.g., profits), and express benefits at spatio-temporal scales that are not always relevant to farmers. This results in mismatches in perceived benefits of ecological intensification between scientists and farmers, which hinders its uptake. We provide recommendations for overcoming these mismatches and highlight important additional factors driving uptake of nature-based management practices, such as social acceptability of farming.","container-title":"Trends in Ecology &amp; Evolution","DOI":"10.1016/j.tree.2018.11.002","ISSN":"0169-5347","issue":"2","journalAbbreviation":"Trends in Ecology &amp; Evolution","language":"en","page":"154-166","source":"ScienceDirect","title":"Ecological Intensification: Bridging the Gap between Science and Practice","title-short":"Ecological Intensification","volume":"34","author":[{"family":"Kleijn","given":"David"},{"family":"Bommarco","given":"Riccardo"},{"family":"Fijen","given":"Thijs P. M."},{"family":"Garibaldi","given":"Lucas A."},{"family":"Potts","given":"Simon G."},{"family":"Putten","given":"Wim H.","non-dropping-particle":"van der"}],"issued":{"date-parts":[["2019",2,1]]}},"locator":"201"}],"schema":"https://github.com/citation-style-language/schema/raw/master/csl-citation.json"}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(Kleijn </w:t>
      </w:r>
      <w:r>
        <w:rPr>
          <w:rFonts w:ascii="Times New Roman" w:hAnsi="Times New Roman" w:cs="Times New Roman"/>
          <w:i/>
          <w:iCs/>
          <w:sz w:val="24"/>
          <w:szCs w:val="24"/>
        </w:rPr>
        <w:t>et al.</w:t>
      </w:r>
      <w:r>
        <w:rPr>
          <w:rFonts w:ascii="Times New Roman" w:hAnsi="Times New Roman" w:cs="Times New Roman"/>
          <w:sz w:val="24"/>
          <w:szCs w:val="24"/>
        </w:rPr>
        <w:t xml:space="preserve"> 2019)</w:t>
      </w:r>
      <w:r>
        <w:rPr>
          <w:rFonts w:ascii="Times New Roman" w:hAnsi="Times New Roman" w:cs="Times New Roman"/>
          <w:sz w:val="24"/>
          <w:szCs w:val="24"/>
        </w:rPr>
        <w:fldChar w:fldCharType="end"/>
      </w:r>
      <w:r>
        <w:rPr>
          <w:rFonts w:ascii="Times New Roman" w:hAnsi="Times New Roman" w:cs="Times New Roman"/>
          <w:sz w:val="24"/>
          <w:szCs w:val="24"/>
        </w:rPr>
        <w:t xml:space="preserve">. All landscape metrics were calculated using QGIS </w:t>
      </w:r>
      <w:r>
        <w:fldChar w:fldCharType="begin"/>
      </w:r>
      <w:r>
        <w:rPr>
          <w:rFonts w:ascii="Times New Roman" w:hAnsi="Times New Roman" w:cs="Times New Roman"/>
          <w:sz w:val="24"/>
          <w:szCs w:val="24"/>
        </w:rPr>
        <w:instrText>ADDIN ZOTERO_ITEM CSL_CITATION {"citationID":"JGsOfkh1","properties":{"formattedCitation":"(QGIS.org 2024)","plainCitation":"(QGIS.org 2024)","noteIndex":0},"citationItems":[{"id":5674,"uris":["http://zotero.org/users/11234172/items/NU6D9HNB"],"itemData":{"id":5674,"type":"software","publisher":"QGIS Association","title":"QGIS Geographic Information System","URL":"http://www.qgis.org","author":[{"family":"QGIS.org","given":""}],"issued":{"date-parts":[["2024"]]}}}],"schema":"https://github.com/citation-style-language/schema/raw/master/csl-citation.json"}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rPr>
        <w:t>(QGIS.org 2024)</w:t>
      </w:r>
      <w:r>
        <w:rPr>
          <w:rFonts w:ascii="Times New Roman" w:hAnsi="Times New Roman" w:cs="Times New Roman"/>
          <w:sz w:val="24"/>
          <w:szCs w:val="24"/>
        </w:rPr>
        <w:fldChar w:fldCharType="end"/>
      </w:r>
      <w:r>
        <w:rPr>
          <w:rFonts w:ascii="Times New Roman" w:hAnsi="Times New Roman" w:cs="Times New Roman"/>
          <w:sz w:val="24"/>
          <w:szCs w:val="24"/>
        </w:rPr>
        <w:t xml:space="preserve"> and R </w:t>
      </w:r>
      <w:r>
        <w:fldChar w:fldCharType="begin"/>
      </w:r>
      <w:r>
        <w:rPr>
          <w:rFonts w:ascii="Times New Roman" w:hAnsi="Times New Roman" w:cs="Times New Roman"/>
          <w:sz w:val="24"/>
          <w:szCs w:val="24"/>
        </w:rPr>
        <w:instrText>ADDIN ZOTERO_ITEM CSL_CITATION {"citationID":"M2nAHxmQ","properties":{"formattedCitation":"(R Core Team 2025)","plainCitation":"(R Core Team 2025)","noteIndex":0},"citationItems":[{"id":160,"uris":["http://zotero.org/users/11234172/items/AM37RLWC"],"itemData":{"id":160,"type":"software","title":"R: A language and environment for   statistical computing. R Foundation for Statistical   Computing, Vienna, Austria","URL":"https://www.R-project.org/","author":[{"family":"R Core Team","given":""}],"issued":{"date-parts":[["2025"]]}}}],"schema":"https://github.com/citation-style-language/schema/raw/master/csl-citation.json"}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rPr>
        <w:t>(R Core Team 2025)</w:t>
      </w:r>
      <w:r>
        <w:rPr>
          <w:rFonts w:ascii="Times New Roman" w:hAnsi="Times New Roman" w:cs="Times New Roman"/>
          <w:sz w:val="24"/>
          <w:szCs w:val="24"/>
        </w:rPr>
        <w:fldChar w:fldCharType="end"/>
      </w:r>
      <w:r>
        <w:rPr>
          <w:rFonts w:ascii="Times New Roman" w:hAnsi="Times New Roman" w:cs="Times New Roman"/>
          <w:sz w:val="24"/>
          <w:szCs w:val="24"/>
        </w:rPr>
        <w:t xml:space="preserve"> based on land use data available in each country for the year 2022 and 2023 </w:t>
      </w:r>
      <w:r>
        <w:rPr>
          <w:rFonts w:ascii="Times New Roman" w:hAnsi="Times New Roman" w:cs="Times New Roman"/>
          <w:sz w:val="24"/>
          <w:szCs w:val="24"/>
        </w:rPr>
        <w:lastRenderedPageBreak/>
        <w:t xml:space="preserve">(Unique Agrarian Statement/DUN and Regional Geographic Information System of Farming Land of the Generalitat de Catalunya in Spain; EELIS - Estonian Nature Information System of the Estonian Environment Agency and WFS map of organic farming in Estonia; and LEA portal of Lower Saxony (https://sla.niedersachsen.de/landentwicklung/LEA/) as well as IACS data (Integrated Administration and Control System) in Germany). </w:t>
      </w:r>
    </w:p>
    <w:p w14:paraId="5EDF2BD3" w14:textId="77777777" w:rsidR="00ED3D4B" w:rsidRDefault="00B13086">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Statistical Analysis:</w:t>
      </w:r>
    </w:p>
    <w:p w14:paraId="32A12EDF" w14:textId="01B69F40" w:rsidR="00ED3D4B" w:rsidRDefault="00933F62">
      <w:pPr>
        <w:spacing w:line="480" w:lineRule="auto"/>
        <w:jc w:val="both"/>
        <w:rPr>
          <w:rFonts w:ascii="Times New Roman" w:hAnsi="Times New Roman" w:cs="Times New Roman"/>
          <w:b/>
          <w:i/>
          <w:sz w:val="24"/>
          <w:szCs w:val="24"/>
          <w:u w:val="single"/>
        </w:rPr>
      </w:pPr>
      <w:r w:rsidRPr="00933F62">
        <w:rPr>
          <w:rFonts w:ascii="Times New Roman" w:hAnsi="Times New Roman" w:cs="Times New Roman"/>
          <w:b/>
          <w:i/>
          <w:sz w:val="24"/>
          <w:szCs w:val="24"/>
          <w:u w:val="single"/>
        </w:rPr>
        <w:t>Effects of species’ ecological specialization on meta-network structure</w:t>
      </w:r>
    </w:p>
    <w:p w14:paraId="6C8FE618" w14:textId="15CABDA4"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To evaluate how species’ ecological specialization (habitat and interaction) influences meta</w:t>
      </w:r>
      <w:r>
        <w:rPr>
          <w:rFonts w:ascii="Times New Roman" w:hAnsi="Times New Roman" w:cs="Times New Roman"/>
          <w:sz w:val="24"/>
          <w:szCs w:val="24"/>
        </w:rPr>
        <w:noBreakHyphen/>
        <w:t>network structure, we calculated: (i) the proportion of interactions involving plant and wild bee habitat</w:t>
      </w:r>
      <w:r w:rsidR="00186F21">
        <w:rPr>
          <w:rFonts w:ascii="Times New Roman" w:hAnsi="Times New Roman" w:cs="Times New Roman"/>
          <w:sz w:val="24"/>
          <w:szCs w:val="24"/>
        </w:rPr>
        <w:t>-</w:t>
      </w:r>
      <w:r>
        <w:rPr>
          <w:rFonts w:ascii="Times New Roman" w:hAnsi="Times New Roman" w:cs="Times New Roman"/>
          <w:sz w:val="24"/>
          <w:szCs w:val="24"/>
        </w:rPr>
        <w:t>specialists among all observed interactions and among single</w:t>
      </w:r>
      <w:r>
        <w:rPr>
          <w:rFonts w:ascii="Times New Roman" w:hAnsi="Times New Roman" w:cs="Times New Roman"/>
          <w:sz w:val="24"/>
          <w:szCs w:val="24"/>
        </w:rPr>
        <w:noBreakHyphen/>
        <w:t>site interactions, and (ii) the average standardized specialization index (</w:t>
      </w:r>
      <w:r w:rsidRPr="006352E6">
        <w:rPr>
          <w:rFonts w:ascii="Times New Roman" w:hAnsi="Times New Roman" w:cs="Times New Roman"/>
          <w:i/>
          <w:iCs/>
          <w:sz w:val="24"/>
          <w:szCs w:val="24"/>
        </w:rPr>
        <w:t>d</w:t>
      </w:r>
      <w:r>
        <w:rPr>
          <w:rFonts w:ascii="Times New Roman" w:hAnsi="Times New Roman" w:cs="Times New Roman"/>
          <w:sz w:val="24"/>
          <w:szCs w:val="24"/>
        </w:rPr>
        <w:t>’) for plants and wild bees participating in all observed interactions and in single</w:t>
      </w:r>
      <w:r>
        <w:rPr>
          <w:rFonts w:ascii="Times New Roman" w:hAnsi="Times New Roman" w:cs="Times New Roman"/>
          <w:sz w:val="24"/>
          <w:szCs w:val="24"/>
        </w:rPr>
        <w:noBreakHyphen/>
        <w:t>site interactions. We then assessed Kendall correlations between meta</w:t>
      </w:r>
      <w:r>
        <w:rPr>
          <w:rFonts w:ascii="Times New Roman" w:hAnsi="Times New Roman" w:cs="Times New Roman"/>
          <w:sz w:val="24"/>
          <w:szCs w:val="24"/>
        </w:rPr>
        <w:noBreakHyphen/>
        <w:t xml:space="preserve">network metrics </w:t>
      </w:r>
      <w:r w:rsidR="00186F21">
        <w:rPr>
          <w:rFonts w:ascii="Times New Roman" w:hAnsi="Times New Roman" w:cs="Times New Roman"/>
          <w:sz w:val="24"/>
          <w:szCs w:val="24"/>
        </w:rPr>
        <w:t>with</w:t>
      </w:r>
      <w:r>
        <w:rPr>
          <w:rFonts w:ascii="Times New Roman" w:hAnsi="Times New Roman" w:cs="Times New Roman"/>
          <w:sz w:val="24"/>
          <w:szCs w:val="24"/>
        </w:rPr>
        <w:t xml:space="preserve"> </w:t>
      </w:r>
      <w:bookmarkStart w:id="8" w:name="_Hlk209385849"/>
      <w:r>
        <w:rPr>
          <w:rFonts w:ascii="Times New Roman" w:hAnsi="Times New Roman" w:cs="Times New Roman"/>
          <w:sz w:val="24"/>
          <w:szCs w:val="24"/>
        </w:rPr>
        <w:t>plant and bee species richness, habitat</w:t>
      </w:r>
      <w:r w:rsidR="00186F21">
        <w:rPr>
          <w:rFonts w:ascii="Times New Roman" w:hAnsi="Times New Roman" w:cs="Times New Roman"/>
          <w:sz w:val="24"/>
          <w:szCs w:val="24"/>
        </w:rPr>
        <w:t>-</w:t>
      </w:r>
      <w:r>
        <w:rPr>
          <w:rFonts w:ascii="Times New Roman" w:hAnsi="Times New Roman" w:cs="Times New Roman"/>
          <w:sz w:val="24"/>
          <w:szCs w:val="24"/>
        </w:rPr>
        <w:t>specialist richness, and average d’ values per grassland</w:t>
      </w:r>
      <w:bookmarkEnd w:id="8"/>
      <w:r>
        <w:rPr>
          <w:rFonts w:ascii="Times New Roman" w:hAnsi="Times New Roman" w:cs="Times New Roman"/>
          <w:sz w:val="24"/>
          <w:szCs w:val="24"/>
        </w:rPr>
        <w:t xml:space="preserve">. Significance was tested using the cor.test function from the stats package (R Core Team 2025), and </w:t>
      </w:r>
      <w:r w:rsidRPr="006352E6">
        <w:rPr>
          <w:rFonts w:ascii="Times New Roman" w:hAnsi="Times New Roman" w:cs="Times New Roman"/>
          <w:i/>
          <w:iCs/>
          <w:sz w:val="24"/>
          <w:szCs w:val="24"/>
        </w:rPr>
        <w:t>p</w:t>
      </w:r>
      <w:bookmarkStart w:id="9" w:name="_Hlk209385883"/>
      <w:r>
        <w:rPr>
          <w:rFonts w:ascii="Times New Roman" w:hAnsi="Times New Roman" w:cs="Times New Roman"/>
          <w:sz w:val="24"/>
          <w:szCs w:val="24"/>
        </w:rPr>
        <w:noBreakHyphen/>
        <w:t xml:space="preserve">values were adjusted per country using the Benjamini–Hochberg procedure </w:t>
      </w:r>
      <w:bookmarkEnd w:id="9"/>
      <w:r>
        <w:rPr>
          <w:rFonts w:ascii="Times New Roman" w:hAnsi="Times New Roman" w:cs="Times New Roman"/>
          <w:sz w:val="24"/>
          <w:szCs w:val="24"/>
        </w:rPr>
        <w:t xml:space="preserve">to control the false discovery rate </w:t>
      </w:r>
      <w:r w:rsidR="00F01CD8">
        <w:rPr>
          <w:rFonts w:ascii="Times New Roman" w:hAnsi="Times New Roman" w:cs="Times New Roman"/>
          <w:sz w:val="24"/>
          <w:szCs w:val="24"/>
        </w:rPr>
        <w:fldChar w:fldCharType="begin"/>
      </w:r>
      <w:r w:rsidR="00F01CD8">
        <w:rPr>
          <w:rFonts w:ascii="Times New Roman" w:hAnsi="Times New Roman" w:cs="Times New Roman"/>
          <w:sz w:val="24"/>
          <w:szCs w:val="24"/>
        </w:rPr>
        <w:instrText xml:space="preserve"> ADDIN ZOTERO_ITEM CSL_CITATION {"citationID":"Wqobs2AO","properties":{"formattedCitation":"(Benjamini &amp; Hochberg 1995)","plainCitation":"(Benjamini &amp; Hochberg 1995)","noteIndex":0},"citationItems":[{"id":5909,"uris":["http://zotero.org/users/11234172/items/72Z72Q7D"],"itemData":{"id":5909,"type":"article-journal","abstract":"The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 — 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examples.","container-title":"Journal of the Royal Statistical Society: Series B (Methodological)","DOI":"10.1111/j.2517-6161.1995.tb02031.x","ISSN":"2517-6161","issue":"1","language":"en","license":"© 1995 Royal Statistical Society","note":"_eprint: https://rss.onlinelibrary.wiley.com/doi/pdf/10.1111/j.2517-6161.1995.tb02031.x","page":"289-300","source":"Wiley Online Library","title":"Controlling the False Discovery Rate: A Practical and Powerful Approach to Multiple Testing","title-short":"Controlling the False Discovery Rate","volume":"57","author":[{"family":"Benjamini","given":"Yoav"},{"family":"Hochberg","given":"Yosef"}],"issued":{"date-parts":[["1995"]]}}}],"schema":"https://github.com/citation-style-language/schema/raw/master/csl-citation.json"} </w:instrText>
      </w:r>
      <w:r w:rsidR="00F01CD8">
        <w:rPr>
          <w:rFonts w:ascii="Times New Roman" w:hAnsi="Times New Roman" w:cs="Times New Roman"/>
          <w:sz w:val="24"/>
          <w:szCs w:val="24"/>
        </w:rPr>
        <w:fldChar w:fldCharType="separate"/>
      </w:r>
      <w:r w:rsidR="00F01CD8" w:rsidRPr="00F01CD8">
        <w:rPr>
          <w:rFonts w:ascii="Times New Roman" w:hAnsi="Times New Roman" w:cs="Times New Roman"/>
          <w:sz w:val="24"/>
        </w:rPr>
        <w:t>(Benjamini &amp; Hochberg 1995)</w:t>
      </w:r>
      <w:r w:rsidR="00F01CD8">
        <w:rPr>
          <w:rFonts w:ascii="Times New Roman" w:hAnsi="Times New Roman" w:cs="Times New Roman"/>
          <w:sz w:val="24"/>
          <w:szCs w:val="24"/>
        </w:rPr>
        <w:fldChar w:fldCharType="end"/>
      </w:r>
      <w:r>
        <w:rPr>
          <w:rFonts w:ascii="Times New Roman" w:hAnsi="Times New Roman" w:cs="Times New Roman"/>
          <w:sz w:val="24"/>
          <w:szCs w:val="24"/>
        </w:rPr>
        <w:t>.</w:t>
      </w:r>
    </w:p>
    <w:p w14:paraId="7788E065" w14:textId="77777777" w:rsidR="00ED3D4B" w:rsidRDefault="00B13086">
      <w:pPr>
        <w:spacing w:line="480" w:lineRule="auto"/>
        <w:jc w:val="both"/>
        <w:rPr>
          <w:rFonts w:ascii="Times New Roman" w:hAnsi="Times New Roman" w:cs="Times New Roman"/>
          <w:b/>
          <w:i/>
          <w:sz w:val="24"/>
          <w:szCs w:val="24"/>
          <w:u w:val="single"/>
        </w:rPr>
      </w:pPr>
      <w:r>
        <w:rPr>
          <w:rFonts w:ascii="Times New Roman" w:hAnsi="Times New Roman" w:cs="Times New Roman"/>
          <w:b/>
          <w:i/>
          <w:sz w:val="24"/>
          <w:szCs w:val="24"/>
          <w:u w:val="single"/>
        </w:rPr>
        <w:t>Local and landscape effects</w:t>
      </w:r>
    </w:p>
    <w:p w14:paraId="59158990" w14:textId="26ED7FE8"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To test whether local management and landscape measures affected grassland centrality in the meta-network, we used generalized linear models (GLM). Local habitat quality included flower cover (log transformed), flowering plant richness, woody cover (local percentage), and grassland area (ha). Landscape variables included the cover of surrounding calcareous grasslands (landscape percentage), productive AES (landscape percentage) and non-productive AES (landscape percentage). All variables were tested against the centrality metrics (interaction richness, single-</w:t>
      </w:r>
      <w:r>
        <w:rPr>
          <w:rFonts w:ascii="Times New Roman" w:hAnsi="Times New Roman" w:cs="Times New Roman"/>
          <w:sz w:val="24"/>
          <w:szCs w:val="24"/>
        </w:rPr>
        <w:lastRenderedPageBreak/>
        <w:t>site interaction richness, proportion of single-site interactions, grassland eigenvector centrality, grassland closeness centrality and grassland apparent influence), together with the country factor to account for potential biogeographical differences. A separate model was fitted for each centrality metric. The explanatory variables were scaled for all models, i.e. subtracting the mean and dividing by the standard deviation for each value. We used a generalized Poisson distribution with a log-link function in the case of interaction richness, a negative binomial distribution with quadratic parameterization and log-link function for the single-site interaction richness</w:t>
      </w:r>
      <w:r w:rsidR="001C4086">
        <w:rPr>
          <w:rFonts w:ascii="Times New Roman" w:hAnsi="Times New Roman" w:cs="Times New Roman"/>
          <w:sz w:val="24"/>
          <w:szCs w:val="24"/>
        </w:rPr>
        <w:t xml:space="preserve"> and a</w:t>
      </w:r>
      <w:r w:rsidR="00DD451F">
        <w:rPr>
          <w:rFonts w:ascii="Times New Roman" w:hAnsi="Times New Roman" w:cs="Times New Roman"/>
          <w:sz w:val="24"/>
          <w:szCs w:val="24"/>
        </w:rPr>
        <w:t xml:space="preserve"> </w:t>
      </w:r>
      <w:r>
        <w:rPr>
          <w:rFonts w:ascii="Times New Roman" w:hAnsi="Times New Roman" w:cs="Times New Roman"/>
          <w:sz w:val="24"/>
          <w:szCs w:val="24"/>
        </w:rPr>
        <w:t xml:space="preserve">beta distribution with log-link function for the proportion of single-site interactions. In the case of eigenvector centrality, closeness and apparent influence, we adjusted the GLM using a Gaussian distribution with identity link function. Multicollinearity was checked with the Variance Inflation Factor </w:t>
      </w:r>
      <w:r w:rsidR="00607497">
        <w:rPr>
          <w:rFonts w:ascii="Times New Roman" w:hAnsi="Times New Roman" w:cs="Times New Roman"/>
          <w:sz w:val="24"/>
          <w:szCs w:val="24"/>
        </w:rPr>
        <w:t>in</w:t>
      </w:r>
      <w:r>
        <w:rPr>
          <w:rFonts w:ascii="Times New Roman" w:hAnsi="Times New Roman" w:cs="Times New Roman"/>
          <w:sz w:val="24"/>
          <w:szCs w:val="24"/>
        </w:rPr>
        <w:t xml:space="preserve"> the “performance” package</w:t>
      </w:r>
      <w:r w:rsidR="00D827FC">
        <w:rPr>
          <w:rFonts w:ascii="Times New Roman" w:hAnsi="Times New Roman" w:cs="Times New Roman"/>
          <w:sz w:val="24"/>
          <w:szCs w:val="24"/>
        </w:rPr>
        <w:t xml:space="preserve"> </w:t>
      </w:r>
      <w:r w:rsidR="00D827FC">
        <w:rPr>
          <w:rFonts w:ascii="Times New Roman" w:hAnsi="Times New Roman" w:cs="Times New Roman"/>
          <w:sz w:val="24"/>
          <w:szCs w:val="24"/>
        </w:rPr>
        <w:fldChar w:fldCharType="begin"/>
      </w:r>
      <w:r w:rsidR="00D827FC">
        <w:rPr>
          <w:rFonts w:ascii="Times New Roman" w:hAnsi="Times New Roman" w:cs="Times New Roman"/>
          <w:sz w:val="24"/>
          <w:szCs w:val="24"/>
        </w:rPr>
        <w:instrText xml:space="preserve"> ADDIN ZOTERO_ITEM CSL_CITATION {"citationID":"2NjPamu2","properties":{"formattedCitation":"(L\\uc0\\u252{}decke {\\i{}et al.} 2021)","plainCitation":"(Lüdecke et al. 2021)","noteIndex":0},"citationItems":[{"id":5917,"uris":["http://zotero.org/users/11234172/items/N9XYV2A3"],"itemData":{"id":5917,"type":"article-journal","abstract":"A crucial part of statistical analysis is evaluating a model’s quality and fit, or performance. During analysis, especially with regression models, investigating the fit of models to data also often involves selecting the best fitting model amongst many competing models. Upon investigation, fit indices should also be reported both visually and numerically to bring readers in on the investigative effort.","container-title":"Journal of Open Source Software","DOI":"10.21105/joss.03139","ISSN":"2475-9066","issue":"60","journalAbbreviation":"JOSS","language":"en","license":"http://creativecommons.org/licenses/by/4.0/","page":"3139","source":"DOI.org (Crossref)","title":"performance: An R Package for Assessment, Comparison and Testing of Statistical Models","title-short":"performance","volume":"6","author":[{"family":"Lüdecke","given":"Daniel"},{"family":"Ben-Shachar","given":"Mattan"},{"family":"Patil","given":"Indrajeet"},{"family":"Waggoner","given":"Philip"},{"family":"Makowski","given":"Dominique"}],"issued":{"date-parts":[["2021",4,21]]}}}],"schema":"https://github.com/citation-style-language/schema/raw/master/csl-citation.json"} </w:instrText>
      </w:r>
      <w:r w:rsidR="00D827FC">
        <w:rPr>
          <w:rFonts w:ascii="Times New Roman" w:hAnsi="Times New Roman" w:cs="Times New Roman"/>
          <w:sz w:val="24"/>
          <w:szCs w:val="24"/>
        </w:rPr>
        <w:fldChar w:fldCharType="separate"/>
      </w:r>
      <w:r w:rsidR="00D827FC" w:rsidRPr="00D827FC">
        <w:rPr>
          <w:rFonts w:ascii="Times New Roman" w:hAnsi="Times New Roman" w:cs="Times New Roman"/>
          <w:sz w:val="24"/>
          <w:szCs w:val="24"/>
        </w:rPr>
        <w:t xml:space="preserve">(Lüdecke </w:t>
      </w:r>
      <w:r w:rsidR="00D827FC" w:rsidRPr="00D827FC">
        <w:rPr>
          <w:rFonts w:ascii="Times New Roman" w:hAnsi="Times New Roman" w:cs="Times New Roman"/>
          <w:i/>
          <w:iCs/>
          <w:sz w:val="24"/>
          <w:szCs w:val="24"/>
        </w:rPr>
        <w:t>et al.</w:t>
      </w:r>
      <w:r w:rsidR="00D827FC" w:rsidRPr="00D827FC">
        <w:rPr>
          <w:rFonts w:ascii="Times New Roman" w:hAnsi="Times New Roman" w:cs="Times New Roman"/>
          <w:sz w:val="24"/>
          <w:szCs w:val="24"/>
        </w:rPr>
        <w:t xml:space="preserve"> 2021)</w:t>
      </w:r>
      <w:r w:rsidR="00D827FC">
        <w:rPr>
          <w:rFonts w:ascii="Times New Roman" w:hAnsi="Times New Roman" w:cs="Times New Roman"/>
          <w:sz w:val="24"/>
          <w:szCs w:val="24"/>
        </w:rPr>
        <w:fldChar w:fldCharType="end"/>
      </w:r>
      <w:r>
        <w:rPr>
          <w:rFonts w:ascii="Times New Roman" w:hAnsi="Times New Roman" w:cs="Times New Roman"/>
          <w:sz w:val="24"/>
          <w:szCs w:val="24"/>
        </w:rPr>
        <w:t>. All models were calculated using “glmmTMB” package</w:t>
      </w:r>
      <w:r w:rsidR="00D827FC">
        <w:rPr>
          <w:rFonts w:ascii="Times New Roman" w:hAnsi="Times New Roman" w:cs="Times New Roman"/>
          <w:sz w:val="24"/>
          <w:szCs w:val="24"/>
        </w:rPr>
        <w:t xml:space="preserve"> </w:t>
      </w:r>
      <w:r w:rsidR="00D827FC">
        <w:rPr>
          <w:rFonts w:ascii="Times New Roman" w:hAnsi="Times New Roman" w:cs="Times New Roman"/>
          <w:sz w:val="24"/>
          <w:szCs w:val="24"/>
        </w:rPr>
        <w:fldChar w:fldCharType="begin"/>
      </w:r>
      <w:r w:rsidR="00D827FC">
        <w:rPr>
          <w:rFonts w:ascii="Times New Roman" w:hAnsi="Times New Roman" w:cs="Times New Roman"/>
          <w:sz w:val="24"/>
          <w:szCs w:val="24"/>
        </w:rPr>
        <w:instrText xml:space="preserve"> ADDIN ZOTERO_ITEM CSL_CITATION {"citationID":"wSh67IJe","properties":{"formattedCitation":"(McGillycuddy {\\i{}et al.} 2025)","plainCitation":"(McGillycuddy et al. 2025)","noteIndex":0},"citationItems":[{"id":5915,"uris":["http://zotero.org/users/11234172/items/KFKNI7ZP"],"itemData":{"id":5915,"type":"article-journal","abstract":"Multivariate random effects with unstructured variance-covariance matrices of large dimensions, q, can be a major challenge to estimate. In this paper, we introduce a new implementation of a reduced-rank approach to fit large dimensional multivariate random effects by writing them as a linear combination of d &lt; q latent variables. By adding reduced-rank functionality to the package glmmTMB, we enhance the mixed models available to include random effects of dimensions that were previously not possible. We apply the reduced-rank random effect to two examples, estimating a generalized latent variable model for multivariate abundance data and a random-slopes model.","container-title":"Journal of Statistical Software","DOI":"10.18637/jss.v112.i01","ISSN":"1548-7660","issue":"1","journalAbbreviation":"J. Stat. Soft.","language":"en","source":"DOI.org (Crossref)","title":"Parsimoniously Fitting Large Multivariate Random Effects in &lt;b&gt;glmmTMB&lt;/b&gt;","URL":"https://www.jstatsoft.org/v112/i01/","volume":"112","author":[{"family":"McGillycuddy","given":"Maeve"},{"family":"Warton","given":"David I."},{"family":"Popovic","given":"Gordana"},{"family":"Bolker","given":"Benjamin M."}],"accessed":{"date-parts":[["2025",9,26]]},"issued":{"date-parts":[["2025"]]}}}],"schema":"https://github.com/citation-style-language/schema/raw/master/csl-citation.json"} </w:instrText>
      </w:r>
      <w:r w:rsidR="00D827FC">
        <w:rPr>
          <w:rFonts w:ascii="Times New Roman" w:hAnsi="Times New Roman" w:cs="Times New Roman"/>
          <w:sz w:val="24"/>
          <w:szCs w:val="24"/>
        </w:rPr>
        <w:fldChar w:fldCharType="separate"/>
      </w:r>
      <w:r w:rsidR="00D827FC" w:rsidRPr="00D827FC">
        <w:rPr>
          <w:rFonts w:ascii="Times New Roman" w:hAnsi="Times New Roman" w:cs="Times New Roman"/>
          <w:sz w:val="24"/>
          <w:szCs w:val="24"/>
        </w:rPr>
        <w:t xml:space="preserve">(McGillycuddy </w:t>
      </w:r>
      <w:r w:rsidR="00D827FC" w:rsidRPr="00D827FC">
        <w:rPr>
          <w:rFonts w:ascii="Times New Roman" w:hAnsi="Times New Roman" w:cs="Times New Roman"/>
          <w:i/>
          <w:iCs/>
          <w:sz w:val="24"/>
          <w:szCs w:val="24"/>
        </w:rPr>
        <w:t>et al.</w:t>
      </w:r>
      <w:r w:rsidR="00D827FC" w:rsidRPr="00D827FC">
        <w:rPr>
          <w:rFonts w:ascii="Times New Roman" w:hAnsi="Times New Roman" w:cs="Times New Roman"/>
          <w:sz w:val="24"/>
          <w:szCs w:val="24"/>
        </w:rPr>
        <w:t xml:space="preserve"> 2025)</w:t>
      </w:r>
      <w:r w:rsidR="00D827FC">
        <w:rPr>
          <w:rFonts w:ascii="Times New Roman" w:hAnsi="Times New Roman" w:cs="Times New Roman"/>
          <w:sz w:val="24"/>
          <w:szCs w:val="24"/>
        </w:rPr>
        <w:fldChar w:fldCharType="end"/>
      </w:r>
      <w:r>
        <w:rPr>
          <w:rFonts w:ascii="Times New Roman" w:hAnsi="Times New Roman" w:cs="Times New Roman"/>
          <w:sz w:val="24"/>
          <w:szCs w:val="24"/>
        </w:rPr>
        <w:t xml:space="preserve"> and “DHARMa" package for residual diagnostics</w:t>
      </w:r>
      <w:r w:rsidR="00F01CD8">
        <w:rPr>
          <w:rFonts w:ascii="Times New Roman" w:hAnsi="Times New Roman" w:cs="Times New Roman"/>
          <w:sz w:val="24"/>
          <w:szCs w:val="24"/>
        </w:rPr>
        <w:t xml:space="preserve"> </w:t>
      </w:r>
      <w:r w:rsidR="00D827FC">
        <w:rPr>
          <w:rFonts w:ascii="Times New Roman" w:hAnsi="Times New Roman" w:cs="Times New Roman"/>
          <w:sz w:val="24"/>
          <w:szCs w:val="24"/>
        </w:rPr>
        <w:fldChar w:fldCharType="begin"/>
      </w:r>
      <w:r w:rsidR="00D827FC">
        <w:rPr>
          <w:rFonts w:ascii="Times New Roman" w:hAnsi="Times New Roman" w:cs="Times New Roman"/>
          <w:sz w:val="24"/>
          <w:szCs w:val="24"/>
        </w:rPr>
        <w:instrText xml:space="preserve"> ADDIN ZOTERO_ITEM CSL_CITATION {"citationID":"XQgtV4H2","properties":{"formattedCitation":"(Hartig 2024)","plainCitation":"(Hartig 2024)","noteIndex":0},"citationItems":[{"id":5913,"uris":["http://zotero.org/users/11234172/items/TDA89GAF"],"itemData":{"id":5913,"type":"software","genre":"R","title":"DHARMa: residual diagnostics for hierarchical (multi-level/mixed) regression models.","URL":"10.32614/CRAN.package.DHARMa","version":"0.4.7","author":[{"family":"Hartig","given":"Florian"}],"issued":{"date-parts":[["2024"]]}}}],"schema":"https://github.com/citation-style-language/schema/raw/master/csl-citation.json"} </w:instrText>
      </w:r>
      <w:r w:rsidR="00D827FC">
        <w:rPr>
          <w:rFonts w:ascii="Times New Roman" w:hAnsi="Times New Roman" w:cs="Times New Roman"/>
          <w:sz w:val="24"/>
          <w:szCs w:val="24"/>
        </w:rPr>
        <w:fldChar w:fldCharType="separate"/>
      </w:r>
      <w:r w:rsidR="00D827FC" w:rsidRPr="00D827FC">
        <w:rPr>
          <w:rFonts w:ascii="Times New Roman" w:hAnsi="Times New Roman" w:cs="Times New Roman"/>
          <w:sz w:val="24"/>
        </w:rPr>
        <w:t>(Hartig 2024)</w:t>
      </w:r>
      <w:r w:rsidR="00D827FC">
        <w:rPr>
          <w:rFonts w:ascii="Times New Roman" w:hAnsi="Times New Roman" w:cs="Times New Roman"/>
          <w:sz w:val="24"/>
          <w:szCs w:val="24"/>
        </w:rPr>
        <w:fldChar w:fldCharType="end"/>
      </w:r>
      <w:r>
        <w:rPr>
          <w:rFonts w:ascii="Times New Roman" w:hAnsi="Times New Roman" w:cs="Times New Roman"/>
          <w:sz w:val="24"/>
          <w:szCs w:val="24"/>
        </w:rPr>
        <w:t xml:space="preserve">. Data processing, meta-network construction, metric calculation, statistical analysis and figure plotting </w:t>
      </w:r>
      <w:r w:rsidR="00D827FC">
        <w:rPr>
          <w:rFonts w:ascii="Times New Roman" w:hAnsi="Times New Roman" w:cs="Times New Roman"/>
          <w:sz w:val="24"/>
          <w:szCs w:val="24"/>
        </w:rPr>
        <w:fldChar w:fldCharType="begin"/>
      </w:r>
      <w:r w:rsidR="00D827FC">
        <w:rPr>
          <w:rFonts w:ascii="Times New Roman" w:hAnsi="Times New Roman" w:cs="Times New Roman"/>
          <w:sz w:val="24"/>
          <w:szCs w:val="24"/>
        </w:rPr>
        <w:instrText xml:space="preserve"> ADDIN ZOTERO_ITEM CSL_CITATION {"citationID":"9BfkkhLo","properties":{"formattedCitation":"(Wickham {\\i{}et al.} 2019)","plainCitation":"(Wickham et al. 2019)","noteIndex":0},"citationItems":[{"id":5919,"uris":["http://zotero.org/users/11234172/items/2SFV7VA5"],"itemData":{"id":5919,"type":"article-journal","abstract":"At a high level, the tidyverse is a language for solving data science challenges with R code. Its primary goal is to facilitate a conversation between a human and a computer about data. Less abstractly, the tidyverse is a collection of R packages that share a high-level design philosophy and low-level grammar and data structures, so that learning one package makes it easier to learn the next.","container-title":"Journal of Open Source Software","DOI":"10.21105/joss.01686","ISSN":"2475-9066","issue":"43","journalAbbreviation":"JOSS","language":"en","license":"http://creativecommons.org/licenses/by/4.0/","page":"1686","source":"DOI.org (Crossref)","title":"Welcome to the Tidyverse","volume":"4","author":[{"family":"Wickham","given":"Hadley"},{"family":"Averick","given":"Mara"},{"family":"Bryan","given":"Jennifer"},{"family":"Chang","given":"Winston"},{"family":"McGowan","given":"Lucy"},{"family":"François","given":"Romain"},{"family":"Grolemund","given":"Garrett"},{"family":"Hayes","given":"Alex"},{"family":"Henry","given":"Lionel"},{"family":"Hester","given":"Jim"},{"family":"Kuhn","given":"Max"},{"family":"Pedersen","given":"Thomas"},{"family":"Miller","given":"Evan"},{"family":"Bache","given":"Stephan"},{"family":"Müller","given":"Kirill"},{"family":"Ooms","given":"Jeroen"},{"family":"Robinson","given":"David"},{"family":"Seidel","given":"Dana"},{"family":"Spinu","given":"Vitalie"},{"family":"Takahashi","given":"Kohske"},{"family":"Vaughan","given":"Davis"},{"family":"Wilke","given":"Claus"},{"family":"Woo","given":"Kara"},{"family":"Yutani","given":"Hiroaki"}],"issued":{"date-parts":[["2019",11,21]]}}}],"schema":"https://github.com/citation-style-language/schema/raw/master/csl-citation.json"} </w:instrText>
      </w:r>
      <w:r w:rsidR="00D827FC">
        <w:rPr>
          <w:rFonts w:ascii="Times New Roman" w:hAnsi="Times New Roman" w:cs="Times New Roman"/>
          <w:sz w:val="24"/>
          <w:szCs w:val="24"/>
        </w:rPr>
        <w:fldChar w:fldCharType="separate"/>
      </w:r>
      <w:r w:rsidR="00D827FC" w:rsidRPr="00D827FC">
        <w:rPr>
          <w:rFonts w:ascii="Times New Roman" w:hAnsi="Times New Roman" w:cs="Times New Roman"/>
          <w:sz w:val="24"/>
          <w:szCs w:val="24"/>
        </w:rPr>
        <w:t xml:space="preserve">(Wickham </w:t>
      </w:r>
      <w:r w:rsidR="00D827FC" w:rsidRPr="00D827FC">
        <w:rPr>
          <w:rFonts w:ascii="Times New Roman" w:hAnsi="Times New Roman" w:cs="Times New Roman"/>
          <w:i/>
          <w:iCs/>
          <w:sz w:val="24"/>
          <w:szCs w:val="24"/>
        </w:rPr>
        <w:t>et al.</w:t>
      </w:r>
      <w:r w:rsidR="00D827FC" w:rsidRPr="00D827FC">
        <w:rPr>
          <w:rFonts w:ascii="Times New Roman" w:hAnsi="Times New Roman" w:cs="Times New Roman"/>
          <w:sz w:val="24"/>
          <w:szCs w:val="24"/>
        </w:rPr>
        <w:t xml:space="preserve"> 2019)</w:t>
      </w:r>
      <w:r w:rsidR="00D827FC">
        <w:rPr>
          <w:rFonts w:ascii="Times New Roman" w:hAnsi="Times New Roman" w:cs="Times New Roman"/>
          <w:sz w:val="24"/>
          <w:szCs w:val="24"/>
        </w:rPr>
        <w:fldChar w:fldCharType="end"/>
      </w:r>
      <w:r w:rsidR="00D827FC">
        <w:rPr>
          <w:rFonts w:ascii="Times New Roman" w:hAnsi="Times New Roman" w:cs="Times New Roman"/>
          <w:sz w:val="24"/>
          <w:szCs w:val="24"/>
        </w:rPr>
        <w:t xml:space="preserve"> </w:t>
      </w:r>
      <w:r>
        <w:rPr>
          <w:rFonts w:ascii="Times New Roman" w:hAnsi="Times New Roman" w:cs="Times New Roman"/>
          <w:sz w:val="24"/>
          <w:szCs w:val="24"/>
        </w:rPr>
        <w:t xml:space="preserve">were performed in R (2025). </w:t>
      </w:r>
    </w:p>
    <w:p w14:paraId="17992E80" w14:textId="77777777" w:rsidR="00ED3D4B" w:rsidRDefault="00B13086">
      <w:pPr>
        <w:spacing w:line="480" w:lineRule="auto"/>
        <w:jc w:val="both"/>
        <w:rPr>
          <w:rFonts w:ascii="Times New Roman" w:hAnsi="Times New Roman" w:cs="Times New Roman"/>
          <w:b/>
          <w:sz w:val="24"/>
          <w:szCs w:val="24"/>
        </w:rPr>
      </w:pPr>
      <w:r>
        <w:rPr>
          <w:rFonts w:ascii="Times New Roman" w:hAnsi="Times New Roman" w:cs="Times New Roman"/>
          <w:b/>
          <w:sz w:val="24"/>
          <w:szCs w:val="24"/>
        </w:rPr>
        <w:t>Results:</w:t>
      </w:r>
    </w:p>
    <w:p w14:paraId="040BB35A" w14:textId="0385E9C5"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Overall, the three meta-networks encompassed 5476 observed interaction events, 1385 different plant-wild bee interactions, 200 plant species, and 225 wild bee species. Single-site interactions, i.e. interactions only observed in one grassland per country in the whole monitoring period, represented 985 observations (70% of </w:t>
      </w:r>
      <w:r w:rsidR="00933F62">
        <w:rPr>
          <w:rFonts w:ascii="Times New Roman" w:hAnsi="Times New Roman" w:cs="Times New Roman"/>
          <w:sz w:val="24"/>
          <w:szCs w:val="24"/>
        </w:rPr>
        <w:t>the total</w:t>
      </w:r>
      <w:r>
        <w:rPr>
          <w:rFonts w:ascii="Times New Roman" w:hAnsi="Times New Roman" w:cs="Times New Roman"/>
          <w:sz w:val="24"/>
          <w:szCs w:val="24"/>
        </w:rPr>
        <w:t xml:space="preserve"> interaction</w:t>
      </w:r>
      <w:r w:rsidR="00933F62">
        <w:rPr>
          <w:rFonts w:ascii="Times New Roman" w:hAnsi="Times New Roman" w:cs="Times New Roman"/>
          <w:sz w:val="24"/>
          <w:szCs w:val="24"/>
        </w:rPr>
        <w:t xml:space="preserve"> richness</w:t>
      </w:r>
      <w:r>
        <w:rPr>
          <w:rFonts w:ascii="Times New Roman" w:hAnsi="Times New Roman" w:cs="Times New Roman"/>
          <w:sz w:val="24"/>
          <w:szCs w:val="24"/>
        </w:rPr>
        <w:t xml:space="preserve">, but 18% of the observed </w:t>
      </w:r>
      <w:r w:rsidR="00933F62">
        <w:rPr>
          <w:rFonts w:ascii="Times New Roman" w:hAnsi="Times New Roman" w:cs="Times New Roman"/>
          <w:sz w:val="24"/>
          <w:szCs w:val="24"/>
        </w:rPr>
        <w:t>abundance</w:t>
      </w:r>
      <w:r>
        <w:rPr>
          <w:rFonts w:ascii="Times New Roman" w:hAnsi="Times New Roman" w:cs="Times New Roman"/>
          <w:sz w:val="24"/>
          <w:szCs w:val="24"/>
        </w:rPr>
        <w:t>). Although meta</w:t>
      </w:r>
      <w:r>
        <w:rPr>
          <w:rFonts w:ascii="Times New Roman" w:hAnsi="Times New Roman" w:cs="Times New Roman"/>
          <w:sz w:val="24"/>
          <w:szCs w:val="24"/>
        </w:rPr>
        <w:noBreakHyphen/>
        <w:t xml:space="preserve">network size and species richness varied among countries </w:t>
      </w:r>
      <w:r w:rsidR="00DD451F">
        <w:rPr>
          <w:rFonts w:ascii="Times New Roman" w:hAnsi="Times New Roman" w:cs="Times New Roman"/>
          <w:sz w:val="24"/>
          <w:szCs w:val="24"/>
        </w:rPr>
        <w:t>showing</w:t>
      </w:r>
      <w:r>
        <w:rPr>
          <w:rFonts w:ascii="Times New Roman" w:hAnsi="Times New Roman" w:cs="Times New Roman"/>
          <w:sz w:val="24"/>
          <w:szCs w:val="24"/>
        </w:rPr>
        <w:t xml:space="preserve"> their </w:t>
      </w:r>
      <w:r w:rsidR="00DD451F">
        <w:rPr>
          <w:rFonts w:ascii="Times New Roman" w:hAnsi="Times New Roman" w:cs="Times New Roman"/>
          <w:sz w:val="24"/>
          <w:szCs w:val="24"/>
        </w:rPr>
        <w:t xml:space="preserve">contrasting </w:t>
      </w:r>
      <w:r>
        <w:rPr>
          <w:rFonts w:ascii="Times New Roman" w:hAnsi="Times New Roman" w:cs="Times New Roman"/>
          <w:sz w:val="24"/>
          <w:szCs w:val="24"/>
        </w:rPr>
        <w:t>biogeographical context, all meta</w:t>
      </w:r>
      <w:r>
        <w:rPr>
          <w:rFonts w:ascii="Times New Roman" w:hAnsi="Times New Roman" w:cs="Times New Roman"/>
          <w:sz w:val="24"/>
          <w:szCs w:val="24"/>
        </w:rPr>
        <w:noBreakHyphen/>
        <w:t xml:space="preserve">networks displayed a similar structure. They were sparse (low connectance), with relatively few shared interactions overall and with consistently high interaction turnover. A small number of grasslands shared interactions widely (high web </w:t>
      </w:r>
      <w:r>
        <w:rPr>
          <w:rFonts w:ascii="Times New Roman" w:hAnsi="Times New Roman" w:cs="Times New Roman"/>
          <w:sz w:val="24"/>
          <w:szCs w:val="24"/>
        </w:rPr>
        <w:lastRenderedPageBreak/>
        <w:t>asymmetry), whereas most were connected with only a limited subset of others (moderate H₂′). Nestedness was low, indicating that interaction</w:t>
      </w:r>
      <w:r>
        <w:rPr>
          <w:rFonts w:ascii="Times New Roman" w:hAnsi="Times New Roman" w:cs="Times New Roman"/>
          <w:sz w:val="24"/>
          <w:szCs w:val="24"/>
        </w:rPr>
        <w:noBreakHyphen/>
        <w:t>poor grasslands were not simply subsets of well</w:t>
      </w:r>
      <w:r>
        <w:rPr>
          <w:rFonts w:ascii="Times New Roman" w:hAnsi="Times New Roman" w:cs="Times New Roman"/>
          <w:sz w:val="24"/>
          <w:szCs w:val="24"/>
        </w:rPr>
        <w:noBreakHyphen/>
        <w:t>connected ones. Together, these patterns reveal a similar organization of interaction sharing across regions despite differences in meta</w:t>
      </w:r>
      <w:r>
        <w:rPr>
          <w:rFonts w:ascii="Times New Roman" w:hAnsi="Times New Roman" w:cs="Times New Roman"/>
          <w:sz w:val="24"/>
          <w:szCs w:val="24"/>
        </w:rPr>
        <w:noBreakHyphen/>
        <w:t>network size (see SM A3 Tables S8 and S9).</w:t>
      </w:r>
    </w:p>
    <w:p w14:paraId="33584CCE" w14:textId="77777777" w:rsidR="00ED3D4B" w:rsidRDefault="00B13086">
      <w:pPr>
        <w:spacing w:line="480" w:lineRule="auto"/>
        <w:jc w:val="both"/>
        <w:rPr>
          <w:rFonts w:ascii="Times New Roman" w:hAnsi="Times New Roman" w:cs="Times New Roman"/>
          <w:b/>
          <w:i/>
          <w:sz w:val="24"/>
          <w:szCs w:val="24"/>
        </w:rPr>
      </w:pPr>
      <w:bookmarkStart w:id="10" w:name="_Hlk209384917"/>
      <w:r>
        <w:rPr>
          <w:rFonts w:ascii="Times New Roman" w:hAnsi="Times New Roman" w:cs="Times New Roman"/>
          <w:b/>
          <w:i/>
          <w:sz w:val="24"/>
          <w:szCs w:val="24"/>
        </w:rPr>
        <w:t>Species specialization roles in meta-network structure</w:t>
      </w:r>
      <w:bookmarkEnd w:id="10"/>
    </w:p>
    <w:p w14:paraId="5D874B4F" w14:textId="1CB492D2"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Interactions restricted to a single grassland were </w:t>
      </w:r>
      <w:r w:rsidR="005A0569">
        <w:rPr>
          <w:rFonts w:ascii="Times New Roman" w:hAnsi="Times New Roman" w:cs="Times New Roman"/>
          <w:sz w:val="24"/>
          <w:szCs w:val="24"/>
        </w:rPr>
        <w:t xml:space="preserve">neither </w:t>
      </w:r>
      <w:r>
        <w:rPr>
          <w:rFonts w:ascii="Times New Roman" w:hAnsi="Times New Roman" w:cs="Times New Roman"/>
          <w:sz w:val="24"/>
          <w:szCs w:val="24"/>
        </w:rPr>
        <w:t>disproportionately composed of habitat</w:t>
      </w:r>
      <w:r w:rsidR="00000648">
        <w:rPr>
          <w:rFonts w:ascii="Times New Roman" w:hAnsi="Times New Roman" w:cs="Times New Roman"/>
          <w:sz w:val="24"/>
          <w:szCs w:val="24"/>
        </w:rPr>
        <w:t>-</w:t>
      </w:r>
      <w:r>
        <w:rPr>
          <w:rFonts w:ascii="Times New Roman" w:hAnsi="Times New Roman" w:cs="Times New Roman"/>
          <w:sz w:val="24"/>
          <w:szCs w:val="24"/>
        </w:rPr>
        <w:t xml:space="preserve">specialists </w:t>
      </w:r>
      <w:r w:rsidR="005A0569">
        <w:rPr>
          <w:rFonts w:ascii="Times New Roman" w:hAnsi="Times New Roman" w:cs="Times New Roman"/>
          <w:sz w:val="24"/>
          <w:szCs w:val="24"/>
        </w:rPr>
        <w:t>n</w:t>
      </w:r>
      <w:r>
        <w:rPr>
          <w:rFonts w:ascii="Times New Roman" w:hAnsi="Times New Roman" w:cs="Times New Roman"/>
          <w:sz w:val="24"/>
          <w:szCs w:val="24"/>
        </w:rPr>
        <w:t xml:space="preserve">or </w:t>
      </w:r>
      <w:r w:rsidR="005A0569">
        <w:rPr>
          <w:rFonts w:ascii="Times New Roman" w:hAnsi="Times New Roman" w:cs="Times New Roman"/>
          <w:sz w:val="24"/>
          <w:szCs w:val="24"/>
        </w:rPr>
        <w:t xml:space="preserve">dominated by </w:t>
      </w:r>
      <w:r>
        <w:rPr>
          <w:rFonts w:ascii="Times New Roman" w:hAnsi="Times New Roman" w:cs="Times New Roman"/>
          <w:sz w:val="24"/>
          <w:szCs w:val="24"/>
        </w:rPr>
        <w:t>interaction</w:t>
      </w:r>
      <w:r w:rsidR="00000648">
        <w:rPr>
          <w:rFonts w:ascii="Times New Roman" w:hAnsi="Times New Roman" w:cs="Times New Roman"/>
          <w:sz w:val="24"/>
          <w:szCs w:val="24"/>
        </w:rPr>
        <w:t>-</w:t>
      </w:r>
      <w:r w:rsidR="005A0569">
        <w:rPr>
          <w:rFonts w:ascii="Times New Roman" w:hAnsi="Times New Roman" w:cs="Times New Roman"/>
          <w:sz w:val="24"/>
          <w:szCs w:val="24"/>
        </w:rPr>
        <w:t>specialists</w:t>
      </w:r>
      <w:r>
        <w:rPr>
          <w:rFonts w:ascii="Times New Roman" w:hAnsi="Times New Roman" w:cs="Times New Roman"/>
          <w:sz w:val="24"/>
          <w:szCs w:val="24"/>
        </w:rPr>
        <w:t>. Habitat</w:t>
      </w:r>
      <w:r w:rsidR="00C951F3">
        <w:rPr>
          <w:rFonts w:ascii="Times New Roman" w:hAnsi="Times New Roman" w:cs="Times New Roman"/>
          <w:sz w:val="24"/>
          <w:szCs w:val="24"/>
        </w:rPr>
        <w:t>-</w:t>
      </w:r>
      <w:r>
        <w:rPr>
          <w:rFonts w:ascii="Times New Roman" w:hAnsi="Times New Roman" w:cs="Times New Roman"/>
          <w:sz w:val="24"/>
          <w:szCs w:val="24"/>
        </w:rPr>
        <w:t>specialists accounted for 36.5 % of all plant interactions and 10.7 % of all wild bee interactions, with similar proportions in single</w:t>
      </w:r>
      <w:r>
        <w:rPr>
          <w:rFonts w:ascii="Times New Roman" w:hAnsi="Times New Roman" w:cs="Times New Roman"/>
          <w:sz w:val="24"/>
          <w:szCs w:val="24"/>
        </w:rPr>
        <w:noBreakHyphen/>
        <w:t>site interactions (32.0 % and 12.3 %, respectively). Mean interaction specialization (</w:t>
      </w:r>
      <w:r w:rsidRPr="00000648">
        <w:rPr>
          <w:rFonts w:ascii="Times New Roman" w:hAnsi="Times New Roman" w:cs="Times New Roman"/>
          <w:i/>
          <w:iCs/>
          <w:sz w:val="24"/>
          <w:szCs w:val="24"/>
        </w:rPr>
        <w:t>d</w:t>
      </w:r>
      <w:r>
        <w:rPr>
          <w:rFonts w:ascii="Times New Roman" w:hAnsi="Times New Roman" w:cs="Times New Roman"/>
          <w:sz w:val="24"/>
          <w:szCs w:val="24"/>
        </w:rPr>
        <w:t>′) was also comparable between total and single</w:t>
      </w:r>
      <w:r>
        <w:rPr>
          <w:rFonts w:ascii="Times New Roman" w:hAnsi="Times New Roman" w:cs="Times New Roman"/>
          <w:sz w:val="24"/>
          <w:szCs w:val="24"/>
        </w:rPr>
        <w:noBreakHyphen/>
        <w:t xml:space="preserve">site interactions for both plants and wild bees. Across countries, plant </w:t>
      </w:r>
      <w:r w:rsidRPr="00000648">
        <w:rPr>
          <w:rFonts w:ascii="Times New Roman" w:hAnsi="Times New Roman" w:cs="Times New Roman"/>
          <w:i/>
          <w:iCs/>
          <w:sz w:val="24"/>
          <w:szCs w:val="24"/>
        </w:rPr>
        <w:t>d</w:t>
      </w:r>
      <w:r>
        <w:rPr>
          <w:rFonts w:ascii="Times New Roman" w:hAnsi="Times New Roman" w:cs="Times New Roman"/>
          <w:sz w:val="24"/>
          <w:szCs w:val="24"/>
        </w:rPr>
        <w:t>′ values tended to be slightly higher in Spain and Germany</w:t>
      </w:r>
      <w:r w:rsidR="00000648">
        <w:rPr>
          <w:rFonts w:ascii="Times New Roman" w:hAnsi="Times New Roman" w:cs="Times New Roman"/>
          <w:sz w:val="24"/>
          <w:szCs w:val="24"/>
        </w:rPr>
        <w:t xml:space="preserve"> (0.45, 0.41 respectively)</w:t>
      </w:r>
      <w:r>
        <w:rPr>
          <w:rFonts w:ascii="Times New Roman" w:hAnsi="Times New Roman" w:cs="Times New Roman"/>
          <w:sz w:val="24"/>
          <w:szCs w:val="24"/>
        </w:rPr>
        <w:t xml:space="preserve"> than in Estonia</w:t>
      </w:r>
      <w:r w:rsidR="00000648">
        <w:rPr>
          <w:rFonts w:ascii="Times New Roman" w:hAnsi="Times New Roman" w:cs="Times New Roman"/>
          <w:sz w:val="24"/>
          <w:szCs w:val="24"/>
        </w:rPr>
        <w:t xml:space="preserve"> (0.3</w:t>
      </w:r>
      <w:r w:rsidR="00933F62">
        <w:rPr>
          <w:rFonts w:ascii="Times New Roman" w:hAnsi="Times New Roman" w:cs="Times New Roman"/>
          <w:sz w:val="24"/>
          <w:szCs w:val="24"/>
        </w:rPr>
        <w:t>1)</w:t>
      </w:r>
      <w:r>
        <w:rPr>
          <w:rFonts w:ascii="Times New Roman" w:hAnsi="Times New Roman" w:cs="Times New Roman"/>
          <w:sz w:val="24"/>
          <w:szCs w:val="24"/>
        </w:rPr>
        <w:t xml:space="preserve">, whereas wild bee </w:t>
      </w:r>
      <w:r w:rsidRPr="00000648">
        <w:rPr>
          <w:rFonts w:ascii="Times New Roman" w:hAnsi="Times New Roman" w:cs="Times New Roman"/>
          <w:i/>
          <w:iCs/>
          <w:sz w:val="24"/>
          <w:szCs w:val="24"/>
        </w:rPr>
        <w:t>d</w:t>
      </w:r>
      <w:r>
        <w:rPr>
          <w:rFonts w:ascii="Times New Roman" w:hAnsi="Times New Roman" w:cs="Times New Roman"/>
          <w:sz w:val="24"/>
          <w:szCs w:val="24"/>
        </w:rPr>
        <w:t>′ values were relatively consistent at moderate levels</w:t>
      </w:r>
      <w:r w:rsidR="00000648">
        <w:rPr>
          <w:rFonts w:ascii="Times New Roman" w:hAnsi="Times New Roman" w:cs="Times New Roman"/>
          <w:sz w:val="24"/>
          <w:szCs w:val="24"/>
        </w:rPr>
        <w:t xml:space="preserve"> (Estonia 0.38, Germany 0.43 and Spain 0.39; </w:t>
      </w:r>
      <w:r>
        <w:rPr>
          <w:rFonts w:ascii="Times New Roman" w:hAnsi="Times New Roman" w:cs="Times New Roman"/>
          <w:sz w:val="24"/>
          <w:szCs w:val="24"/>
        </w:rPr>
        <w:t xml:space="preserve">see SM A6, </w:t>
      </w:r>
      <w:r w:rsidR="00FF44E1">
        <w:rPr>
          <w:rFonts w:ascii="Times New Roman" w:hAnsi="Times New Roman" w:cs="Times New Roman"/>
          <w:sz w:val="24"/>
          <w:szCs w:val="24"/>
        </w:rPr>
        <w:t>t</w:t>
      </w:r>
      <w:r>
        <w:rPr>
          <w:rFonts w:ascii="Times New Roman" w:hAnsi="Times New Roman" w:cs="Times New Roman"/>
          <w:sz w:val="24"/>
          <w:szCs w:val="24"/>
        </w:rPr>
        <w:t>ables S13 and S14).</w:t>
      </w:r>
    </w:p>
    <w:p w14:paraId="767BB9DB" w14:textId="5DEF0D9A"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In all countries, more diverse grasslands contributed more total and unique interactions to the meta</w:t>
      </w:r>
      <w:r>
        <w:rPr>
          <w:rFonts w:ascii="Times New Roman" w:hAnsi="Times New Roman" w:cs="Times New Roman"/>
          <w:sz w:val="24"/>
          <w:szCs w:val="24"/>
        </w:rPr>
        <w:noBreakHyphen/>
        <w:t>network and had lower closeness centrality as expected</w:t>
      </w:r>
      <w:r w:rsidR="0064052E">
        <w:rPr>
          <w:rFonts w:ascii="Times New Roman" w:hAnsi="Times New Roman" w:cs="Times New Roman"/>
          <w:sz w:val="24"/>
          <w:szCs w:val="24"/>
        </w:rPr>
        <w:t xml:space="preserve"> (Fig. 3)</w:t>
      </w:r>
      <w:r>
        <w:rPr>
          <w:rFonts w:ascii="Times New Roman" w:hAnsi="Times New Roman" w:cs="Times New Roman"/>
          <w:sz w:val="24"/>
          <w:szCs w:val="24"/>
        </w:rPr>
        <w:t>. Richness of habitat</w:t>
      </w:r>
      <w:r w:rsidR="00000648">
        <w:rPr>
          <w:rFonts w:ascii="Times New Roman" w:hAnsi="Times New Roman" w:cs="Times New Roman"/>
          <w:sz w:val="24"/>
          <w:szCs w:val="24"/>
        </w:rPr>
        <w:t>-</w:t>
      </w:r>
      <w:r>
        <w:rPr>
          <w:rFonts w:ascii="Times New Roman" w:hAnsi="Times New Roman" w:cs="Times New Roman"/>
          <w:sz w:val="24"/>
          <w:szCs w:val="24"/>
        </w:rPr>
        <w:t>specialist plants was positively related to eigenvector centrality (significant in Germany and Spain), indicating that “keystone” grasslands tend to host more habita</w:t>
      </w:r>
      <w:r w:rsidR="0064052E">
        <w:rPr>
          <w:rFonts w:ascii="Times New Roman" w:hAnsi="Times New Roman" w:cs="Times New Roman"/>
          <w:sz w:val="24"/>
          <w:szCs w:val="24"/>
        </w:rPr>
        <w:t>t</w:t>
      </w:r>
      <w:r w:rsidR="00000648">
        <w:rPr>
          <w:rFonts w:ascii="Times New Roman" w:hAnsi="Times New Roman" w:cs="Times New Roman"/>
          <w:sz w:val="24"/>
          <w:szCs w:val="24"/>
        </w:rPr>
        <w:t>-</w:t>
      </w:r>
      <w:r>
        <w:rPr>
          <w:rFonts w:ascii="Times New Roman" w:hAnsi="Times New Roman" w:cs="Times New Roman"/>
          <w:sz w:val="24"/>
          <w:szCs w:val="24"/>
        </w:rPr>
        <w:t xml:space="preserve">specialist plants, whereas such specialists were less common in grasslands with higher closeness centrality. Interaction specialization (mean </w:t>
      </w:r>
      <w:r w:rsidRPr="00000648">
        <w:rPr>
          <w:rFonts w:ascii="Times New Roman" w:hAnsi="Times New Roman" w:cs="Times New Roman"/>
          <w:i/>
          <w:iCs/>
          <w:sz w:val="24"/>
          <w:szCs w:val="24"/>
        </w:rPr>
        <w:t>d</w:t>
      </w:r>
      <w:r>
        <w:rPr>
          <w:rFonts w:ascii="Times New Roman" w:hAnsi="Times New Roman" w:cs="Times New Roman"/>
          <w:sz w:val="24"/>
          <w:szCs w:val="24"/>
        </w:rPr>
        <w:t xml:space="preserve">′, i.e. the average specialization </w:t>
      </w:r>
      <w:r w:rsidR="00000648">
        <w:rPr>
          <w:rFonts w:ascii="Times New Roman" w:hAnsi="Times New Roman" w:cs="Times New Roman"/>
          <w:sz w:val="24"/>
          <w:szCs w:val="24"/>
        </w:rPr>
        <w:t xml:space="preserve">degree </w:t>
      </w:r>
      <w:r>
        <w:rPr>
          <w:rFonts w:ascii="Times New Roman" w:hAnsi="Times New Roman" w:cs="Times New Roman"/>
          <w:sz w:val="24"/>
          <w:szCs w:val="24"/>
        </w:rPr>
        <w:t>of the species present in each grassland) showed mostly weak relationships with meta</w:t>
      </w:r>
      <w:r>
        <w:rPr>
          <w:rFonts w:ascii="Times New Roman" w:hAnsi="Times New Roman" w:cs="Times New Roman"/>
          <w:sz w:val="24"/>
          <w:szCs w:val="24"/>
        </w:rPr>
        <w:noBreakHyphen/>
        <w:t xml:space="preserve">network metrics. Nevertheless, in Estonia and Spain, higher mean </w:t>
      </w:r>
      <w:r w:rsidRPr="00000648">
        <w:rPr>
          <w:rFonts w:ascii="Times New Roman" w:hAnsi="Times New Roman" w:cs="Times New Roman"/>
          <w:i/>
          <w:iCs/>
          <w:sz w:val="24"/>
          <w:szCs w:val="24"/>
        </w:rPr>
        <w:t>d</w:t>
      </w:r>
      <w:r>
        <w:rPr>
          <w:rFonts w:ascii="Times New Roman" w:hAnsi="Times New Roman" w:cs="Times New Roman"/>
          <w:sz w:val="24"/>
          <w:szCs w:val="24"/>
        </w:rPr>
        <w:t>′ for either plants or bees tended to be associated with more total and single</w:t>
      </w:r>
      <w:r>
        <w:rPr>
          <w:rFonts w:ascii="Times New Roman" w:hAnsi="Times New Roman" w:cs="Times New Roman"/>
          <w:sz w:val="24"/>
          <w:szCs w:val="24"/>
        </w:rPr>
        <w:noBreakHyphen/>
        <w:t xml:space="preserve">site interactions, whereas in Germany these relationships tended to be negative. In </w:t>
      </w:r>
      <w:r w:rsidR="0064052E">
        <w:rPr>
          <w:rFonts w:ascii="Times New Roman" w:hAnsi="Times New Roman" w:cs="Times New Roman"/>
          <w:sz w:val="24"/>
          <w:szCs w:val="24"/>
        </w:rPr>
        <w:t>Germany and Spain</w:t>
      </w:r>
      <w:r>
        <w:rPr>
          <w:rFonts w:ascii="Times New Roman" w:hAnsi="Times New Roman" w:cs="Times New Roman"/>
          <w:sz w:val="24"/>
          <w:szCs w:val="24"/>
        </w:rPr>
        <w:t>, higher interaction specialization correspond</w:t>
      </w:r>
      <w:r w:rsidR="0064052E">
        <w:rPr>
          <w:rFonts w:ascii="Times New Roman" w:hAnsi="Times New Roman" w:cs="Times New Roman"/>
          <w:sz w:val="24"/>
          <w:szCs w:val="24"/>
        </w:rPr>
        <w:t>ed</w:t>
      </w:r>
      <w:r>
        <w:rPr>
          <w:rFonts w:ascii="Times New Roman" w:hAnsi="Times New Roman" w:cs="Times New Roman"/>
          <w:sz w:val="24"/>
          <w:szCs w:val="24"/>
        </w:rPr>
        <w:t xml:space="preserve"> to a greater proportion of single</w:t>
      </w:r>
      <w:r>
        <w:rPr>
          <w:rFonts w:ascii="Times New Roman" w:hAnsi="Times New Roman" w:cs="Times New Roman"/>
          <w:sz w:val="24"/>
          <w:szCs w:val="24"/>
        </w:rPr>
        <w:noBreakHyphen/>
        <w:t xml:space="preserve">site </w:t>
      </w:r>
      <w:r>
        <w:rPr>
          <w:rFonts w:ascii="Times New Roman" w:hAnsi="Times New Roman" w:cs="Times New Roman"/>
          <w:sz w:val="24"/>
          <w:szCs w:val="24"/>
        </w:rPr>
        <w:lastRenderedPageBreak/>
        <w:t>interactions,</w:t>
      </w:r>
      <w:r w:rsidR="0064052E">
        <w:rPr>
          <w:rFonts w:ascii="Times New Roman" w:hAnsi="Times New Roman" w:cs="Times New Roman"/>
          <w:sz w:val="24"/>
          <w:szCs w:val="24"/>
        </w:rPr>
        <w:t xml:space="preserve"> but not in Estonia</w:t>
      </w:r>
      <w:r>
        <w:rPr>
          <w:rFonts w:ascii="Times New Roman" w:hAnsi="Times New Roman" w:cs="Times New Roman"/>
          <w:sz w:val="24"/>
          <w:szCs w:val="24"/>
        </w:rPr>
        <w:t xml:space="preserve">. Higher mean bee </w:t>
      </w:r>
      <w:r w:rsidRPr="00000648">
        <w:rPr>
          <w:rFonts w:ascii="Times New Roman" w:hAnsi="Times New Roman" w:cs="Times New Roman"/>
          <w:i/>
          <w:iCs/>
          <w:sz w:val="24"/>
          <w:szCs w:val="24"/>
        </w:rPr>
        <w:t>d</w:t>
      </w:r>
      <w:r>
        <w:rPr>
          <w:rFonts w:ascii="Times New Roman" w:hAnsi="Times New Roman" w:cs="Times New Roman"/>
          <w:sz w:val="24"/>
          <w:szCs w:val="24"/>
        </w:rPr>
        <w:t xml:space="preserve">′ tended to be associated with lower apparent influence, reflecting the reduced sharing of interactions among sites when bees </w:t>
      </w:r>
      <w:r w:rsidR="00933F62">
        <w:rPr>
          <w:rFonts w:ascii="Times New Roman" w:hAnsi="Times New Roman" w:cs="Times New Roman"/>
          <w:sz w:val="24"/>
          <w:szCs w:val="24"/>
        </w:rPr>
        <w:t>have</w:t>
      </w:r>
      <w:r>
        <w:rPr>
          <w:rFonts w:ascii="Times New Roman" w:hAnsi="Times New Roman" w:cs="Times New Roman"/>
          <w:sz w:val="24"/>
          <w:szCs w:val="24"/>
        </w:rPr>
        <w:t xml:space="preserve"> fewer partners (see Table S15). </w:t>
      </w:r>
    </w:p>
    <w:p w14:paraId="2E041336" w14:textId="77777777" w:rsidR="00ED3D4B" w:rsidRDefault="00B13086">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Local and landscape restoration effects</w:t>
      </w:r>
    </w:p>
    <w:p w14:paraId="6D61C87E" w14:textId="379061EA" w:rsidR="00ED3D4B" w:rsidRDefault="00B1308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In general, local factors exerted a stronger influence on plant–pollinator meta-network structure than landscape-level variables (Figure 4). Among these, flower richness had the most pronounced effect, showing significant positive relationships with interaction richness (estimate ± standard error: 0.14 ± 0.03, </w:t>
      </w:r>
      <w:r w:rsidRPr="00000648">
        <w:rPr>
          <w:rFonts w:ascii="Times New Roman" w:hAnsi="Times New Roman" w:cs="Times New Roman"/>
          <w:i/>
          <w:iCs/>
          <w:sz w:val="24"/>
          <w:szCs w:val="24"/>
        </w:rPr>
        <w:t>p</w:t>
      </w:r>
      <w:r>
        <w:rPr>
          <w:rFonts w:ascii="Times New Roman" w:hAnsi="Times New Roman" w:cs="Times New Roman"/>
          <w:sz w:val="24"/>
          <w:szCs w:val="24"/>
        </w:rPr>
        <w:t xml:space="preserve"> &lt; 0.01), single-site interaction richness (0.26 ± 0.04, </w:t>
      </w:r>
      <w:r w:rsidRPr="00000648">
        <w:rPr>
          <w:rFonts w:ascii="Times New Roman" w:hAnsi="Times New Roman" w:cs="Times New Roman"/>
          <w:i/>
          <w:iCs/>
          <w:sz w:val="24"/>
          <w:szCs w:val="24"/>
        </w:rPr>
        <w:t>p</w:t>
      </w:r>
      <w:r>
        <w:rPr>
          <w:rFonts w:ascii="Times New Roman" w:hAnsi="Times New Roman" w:cs="Times New Roman"/>
          <w:sz w:val="24"/>
          <w:szCs w:val="24"/>
        </w:rPr>
        <w:t xml:space="preserve"> &lt; 0.01), and the proportion of single-site interactions (0.16 ± 0.05, </w:t>
      </w:r>
      <w:r w:rsidRPr="00000648">
        <w:rPr>
          <w:rFonts w:ascii="Times New Roman" w:hAnsi="Times New Roman" w:cs="Times New Roman"/>
          <w:i/>
          <w:iCs/>
          <w:sz w:val="24"/>
          <w:szCs w:val="24"/>
        </w:rPr>
        <w:t>p</w:t>
      </w:r>
      <w:r>
        <w:rPr>
          <w:rFonts w:ascii="Times New Roman" w:hAnsi="Times New Roman" w:cs="Times New Roman"/>
          <w:sz w:val="24"/>
          <w:szCs w:val="24"/>
        </w:rPr>
        <w:t xml:space="preserve"> &lt; 0.01). Additionally, flower richness was significantly negatively associated with both grassland closeness centrality (–0.01 ± 0.005, </w:t>
      </w:r>
      <w:r w:rsidRPr="00000648">
        <w:rPr>
          <w:rFonts w:ascii="Times New Roman" w:hAnsi="Times New Roman" w:cs="Times New Roman"/>
          <w:i/>
          <w:iCs/>
          <w:sz w:val="24"/>
          <w:szCs w:val="24"/>
        </w:rPr>
        <w:t>p</w:t>
      </w:r>
      <w:r>
        <w:rPr>
          <w:rFonts w:ascii="Times New Roman" w:hAnsi="Times New Roman" w:cs="Times New Roman"/>
          <w:sz w:val="24"/>
          <w:szCs w:val="24"/>
        </w:rPr>
        <w:t xml:space="preserve"> = 0.05) and apparent influence (–0.23 ± 0.09, </w:t>
      </w:r>
      <w:r w:rsidRPr="00000648">
        <w:rPr>
          <w:rFonts w:ascii="Times New Roman" w:hAnsi="Times New Roman" w:cs="Times New Roman"/>
          <w:i/>
          <w:iCs/>
          <w:sz w:val="24"/>
          <w:szCs w:val="24"/>
        </w:rPr>
        <w:t>p</w:t>
      </w:r>
      <w:r>
        <w:rPr>
          <w:rFonts w:ascii="Times New Roman" w:hAnsi="Times New Roman" w:cs="Times New Roman"/>
          <w:sz w:val="24"/>
          <w:szCs w:val="24"/>
        </w:rPr>
        <w:t xml:space="preserve"> = 0.01). Similarly, flower cover had a significant positive effect on interaction richness (0.08 ± 0.03, </w:t>
      </w:r>
      <w:r w:rsidRPr="00000648">
        <w:rPr>
          <w:rFonts w:ascii="Times New Roman" w:hAnsi="Times New Roman" w:cs="Times New Roman"/>
          <w:i/>
          <w:iCs/>
          <w:sz w:val="24"/>
          <w:szCs w:val="24"/>
        </w:rPr>
        <w:t>p</w:t>
      </w:r>
      <w:r>
        <w:rPr>
          <w:rFonts w:ascii="Times New Roman" w:hAnsi="Times New Roman" w:cs="Times New Roman"/>
          <w:sz w:val="24"/>
          <w:szCs w:val="24"/>
        </w:rPr>
        <w:t xml:space="preserve"> &lt; 0.01) and single-site interaction richness (0.13 ± 0.05, </w:t>
      </w:r>
      <w:r w:rsidRPr="00000648">
        <w:rPr>
          <w:rFonts w:ascii="Times New Roman" w:hAnsi="Times New Roman" w:cs="Times New Roman"/>
          <w:i/>
          <w:iCs/>
          <w:sz w:val="24"/>
          <w:szCs w:val="24"/>
        </w:rPr>
        <w:t>p</w:t>
      </w:r>
      <w:r>
        <w:rPr>
          <w:rFonts w:ascii="Times New Roman" w:hAnsi="Times New Roman" w:cs="Times New Roman"/>
          <w:sz w:val="24"/>
          <w:szCs w:val="24"/>
        </w:rPr>
        <w:t xml:space="preserve"> = 0.01). </w:t>
      </w:r>
    </w:p>
    <w:p w14:paraId="5B558DB9" w14:textId="442A76C9"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By contrast, woody cover was only significantly associated with higher grassland closeness centrality (0.15 ± 0.05, </w:t>
      </w:r>
      <w:r w:rsidRPr="00000648">
        <w:rPr>
          <w:rFonts w:ascii="Times New Roman" w:hAnsi="Times New Roman" w:cs="Times New Roman"/>
          <w:i/>
          <w:iCs/>
          <w:sz w:val="24"/>
          <w:szCs w:val="24"/>
        </w:rPr>
        <w:t>p</w:t>
      </w:r>
      <w:r>
        <w:rPr>
          <w:rFonts w:ascii="Times New Roman" w:hAnsi="Times New Roman" w:cs="Times New Roman"/>
          <w:sz w:val="24"/>
          <w:szCs w:val="24"/>
        </w:rPr>
        <w:t xml:space="preserve"> &lt; 0.01), denoting that increased cover of shrubs and trees promotes fewer shared interactions among few grasslands. Regarding landscape management factors, productive AES were significantly negatively linked to grassland closeness centrality (–0.011 ± 0.05, </w:t>
      </w:r>
      <w:r w:rsidRPr="00000648">
        <w:rPr>
          <w:rFonts w:ascii="Times New Roman" w:hAnsi="Times New Roman" w:cs="Times New Roman"/>
          <w:i/>
          <w:iCs/>
          <w:sz w:val="24"/>
          <w:szCs w:val="24"/>
        </w:rPr>
        <w:t>p</w:t>
      </w:r>
      <w:r>
        <w:rPr>
          <w:rFonts w:ascii="Times New Roman" w:hAnsi="Times New Roman" w:cs="Times New Roman"/>
          <w:sz w:val="24"/>
          <w:szCs w:val="24"/>
        </w:rPr>
        <w:t xml:space="preserve"> = 0.02), while non-productive AES were associated with reduced single-site interaction richness (–0.1 ± 0.04, p = 0.03), i.e. potentially increasing the overlap of interactions among sites (see SM A 7, Figures S</w:t>
      </w:r>
      <w:r w:rsidR="00FF44E1">
        <w:rPr>
          <w:rFonts w:ascii="Times New Roman" w:hAnsi="Times New Roman" w:cs="Times New Roman"/>
          <w:sz w:val="24"/>
          <w:szCs w:val="24"/>
        </w:rPr>
        <w:t>2</w:t>
      </w:r>
      <w:r>
        <w:rPr>
          <w:rFonts w:ascii="Times New Roman" w:hAnsi="Times New Roman" w:cs="Times New Roman"/>
          <w:sz w:val="24"/>
          <w:szCs w:val="24"/>
        </w:rPr>
        <w:t xml:space="preserve"> &amp; S</w:t>
      </w:r>
      <w:r w:rsidR="00FF44E1">
        <w:rPr>
          <w:rFonts w:ascii="Times New Roman" w:hAnsi="Times New Roman" w:cs="Times New Roman"/>
          <w:sz w:val="24"/>
          <w:szCs w:val="24"/>
        </w:rPr>
        <w:t>3</w:t>
      </w:r>
      <w:r>
        <w:rPr>
          <w:rFonts w:ascii="Times New Roman" w:hAnsi="Times New Roman" w:cs="Times New Roman"/>
          <w:sz w:val="24"/>
          <w:szCs w:val="24"/>
        </w:rPr>
        <w:t xml:space="preserve">). None of the tested variables significantly affected eigenvector centrality, implying no detectable effects on keystone grassland status. Grassland area and cover of surrounding calcareous grasslands were not significant in any of the models. Country was </w:t>
      </w:r>
      <w:r>
        <w:rPr>
          <w:rFonts w:ascii="Times New Roman" w:hAnsi="Times New Roman" w:cs="Times New Roman"/>
          <w:sz w:val="24"/>
          <w:szCs w:val="24"/>
        </w:rPr>
        <w:lastRenderedPageBreak/>
        <w:t>significant in all tested models, indicating differences among studied regions (see Table S16 for a detailed summary of model results).</w:t>
      </w:r>
    </w:p>
    <w:p w14:paraId="76E05182" w14:textId="77777777" w:rsidR="00ED3D4B" w:rsidRDefault="00B1308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Discussion: </w:t>
      </w:r>
    </w:p>
    <w:p w14:paraId="50A42C08" w14:textId="1B368238"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Our study provides a comprehensive assessment of the structure and drivers of plant-wild bee meta-networks in calcareous grasslands in three European countries. Notably, the richness of plant habitat</w:t>
      </w:r>
      <w:r w:rsidR="00000648">
        <w:rPr>
          <w:rFonts w:ascii="Times New Roman" w:hAnsi="Times New Roman" w:cs="Times New Roman"/>
          <w:sz w:val="24"/>
          <w:szCs w:val="24"/>
        </w:rPr>
        <w:t>-</w:t>
      </w:r>
      <w:r>
        <w:rPr>
          <w:rFonts w:ascii="Times New Roman" w:hAnsi="Times New Roman" w:cs="Times New Roman"/>
          <w:sz w:val="24"/>
          <w:szCs w:val="24"/>
        </w:rPr>
        <w:t>specialists increased eigenvector centrality, indicating that grasslands with more habitat</w:t>
      </w:r>
      <w:r w:rsidR="00000648">
        <w:rPr>
          <w:rFonts w:ascii="Times New Roman" w:hAnsi="Times New Roman" w:cs="Times New Roman"/>
          <w:sz w:val="24"/>
          <w:szCs w:val="24"/>
        </w:rPr>
        <w:t>-</w:t>
      </w:r>
      <w:r>
        <w:rPr>
          <w:rFonts w:ascii="Times New Roman" w:hAnsi="Times New Roman" w:cs="Times New Roman"/>
          <w:sz w:val="24"/>
          <w:szCs w:val="24"/>
        </w:rPr>
        <w:t xml:space="preserve">specialists </w:t>
      </w:r>
      <w:r w:rsidR="00000648">
        <w:rPr>
          <w:rFonts w:ascii="Times New Roman" w:hAnsi="Times New Roman" w:cs="Times New Roman"/>
          <w:sz w:val="24"/>
          <w:szCs w:val="24"/>
        </w:rPr>
        <w:t xml:space="preserve">plants </w:t>
      </w:r>
      <w:r>
        <w:rPr>
          <w:rFonts w:ascii="Times New Roman" w:hAnsi="Times New Roman" w:cs="Times New Roman"/>
          <w:sz w:val="24"/>
          <w:szCs w:val="24"/>
        </w:rPr>
        <w:t xml:space="preserve">tend to become more central in the meta-network of interactions. Local habitat quality, particularly flower richness, emerged as the main driver promoting interaction richness and the proportion of single-site interaction, reflecting the spatial complementarity of interactions. In contrast, increased woody cover tended to reduce meta-community cohesion by losing shared interactions across grasslands. Despite the limited effect of landscape-scale measures, both productive and non-productive AES showed the potential to increase the redundancy of interactions among calcareous grasslands, thereby supporting the restoration of plant-pollinator metacommunity cohesion. </w:t>
      </w:r>
    </w:p>
    <w:p w14:paraId="5CF8A9DF" w14:textId="72FD0FFA"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In grasslands, insect</w:t>
      </w:r>
      <w:r>
        <w:rPr>
          <w:rFonts w:ascii="Times New Roman" w:hAnsi="Times New Roman" w:cs="Times New Roman"/>
          <w:sz w:val="24"/>
          <w:szCs w:val="24"/>
        </w:rPr>
        <w:noBreakHyphen/>
        <w:t xml:space="preserve">pollinated plants are often among the first species to disappear after abandonment </w:t>
      </w:r>
      <w:r>
        <w:fldChar w:fldCharType="begin"/>
      </w:r>
      <w:r>
        <w:rPr>
          <w:rFonts w:ascii="Times New Roman" w:hAnsi="Times New Roman" w:cs="Times New Roman"/>
          <w:sz w:val="24"/>
          <w:szCs w:val="24"/>
        </w:rPr>
        <w:instrText>ADDIN ZOTERO_ITEM CSL_CITATION {"citationID":"xgbYBPrv","properties":{"formattedCitation":"(S\\uc0\\u245{}ber {\\i{}et al.} 2024)","plainCitation":"(Sõber et al. 2024)","noteIndex":0},"citationItems":[{"id":5690,"uris":["http://zotero.org/users/11234172/items/F76V4QUT"],"itemData":{"id":5690,"type":"article-journal","abstract":"Loss and fragmentation of natural and seminatural grasslands threaten the persistence of numerous species and the associated interactions. Awareness of possible biotic filters generated by overgrowth of grasslands, and related shifts in functional trait composition are crucial for restoring ecosystem functions. Yet, changes in the patterns of pollination-related plant functional traits in response to changes in local land use have been largely overlooked. We explored shifts in the functional trait composition and diversity of herbaceous plants in 28 paired sites of open and overgrown seminatural grasslands in Western Estonia, Northern Europe. We tested whether patterns of pollination-related functional traits were associated with the stage of succession (open vs overgrown grassland sites), accounting for the effects of the geographic location of sites and the phylogenetic relationships among species. The successional overgrowth of grasslands caused a significant decline in species richness of herbaceous grassland plants and resulted in substantial changes in the functional composition of plant communities. Grassland species retained in overgrown sites were less likely to be (i) insect-pollinated, (ii) reproducing by seed and (iii) shorter-lived than species in open grasslands. The observed pattern has significant implications for restoring functional grassland ecosystems. As insect-pollinated plant species are first to disappear during grassland overgrowth, the consequences for the ecosystem pollination function may be substantial. Moreover, a relatively fast and effective restoration of the pollination function in grassland ecosystems may be achievable only before a significant loss of insect-pollinated species, as insect-pollinated species have been shown to recover more slowly than other plants.","container-title":"Biological Conservation","DOI":"10.1016/j.biocon.2024.110457","ISSN":"0006-3207","journalAbbreviation":"Biological Conservation","page":"110457","source":"ScienceDirect","title":"Insect-pollinated plants are first to disappear from overgrowing grasslands: Implications for restoring functional ecosystems","title-short":"Insect-pollinated plants are first to disappear from overgrowing grasslands","volume":"291","author":[{"family":"Sõber","given":"Virve"},{"family":"Aavik","given":"Tsipe"},{"family":"Kaasik","given":"Ants"},{"family":"Mesipuu","given":"Meeli"},{"family":"Teder","given":"Tiit"}],"issued":{"date-parts":[["2024",3,1]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(Sõber </w:t>
      </w:r>
      <w:r>
        <w:rPr>
          <w:rFonts w:ascii="Times New Roman" w:hAnsi="Times New Roman" w:cs="Times New Roman"/>
          <w:i/>
          <w:iCs/>
          <w:sz w:val="24"/>
          <w:szCs w:val="24"/>
        </w:rPr>
        <w:t>et al.</w:t>
      </w:r>
      <w:r>
        <w:rPr>
          <w:rFonts w:ascii="Times New Roman" w:hAnsi="Times New Roman" w:cs="Times New Roman"/>
          <w:sz w:val="24"/>
          <w:szCs w:val="24"/>
        </w:rPr>
        <w:t xml:space="preserve"> 2024)</w:t>
      </w:r>
      <w:r>
        <w:rPr>
          <w:rFonts w:ascii="Times New Roman" w:hAnsi="Times New Roman" w:cs="Times New Roman"/>
          <w:sz w:val="24"/>
          <w:szCs w:val="24"/>
        </w:rPr>
        <w:fldChar w:fldCharType="end"/>
      </w:r>
      <w:r>
        <w:rPr>
          <w:rFonts w:ascii="Times New Roman" w:hAnsi="Times New Roman" w:cs="Times New Roman"/>
          <w:sz w:val="24"/>
          <w:szCs w:val="24"/>
        </w:rPr>
        <w:t>. Our results show that the most effective way to promote plant–pollinator interactions is to restore the richness of habitat</w:t>
      </w:r>
      <w:r>
        <w:rPr>
          <w:rFonts w:ascii="Times New Roman" w:hAnsi="Times New Roman" w:cs="Times New Roman"/>
          <w:sz w:val="24"/>
          <w:szCs w:val="24"/>
        </w:rPr>
        <w:noBreakHyphen/>
        <w:t>specialist plants, alongside increasing floral cover and floral richness. These factors were associated not only with a higher diversity of interactions, but also with meta</w:t>
      </w:r>
      <w:r>
        <w:rPr>
          <w:rFonts w:ascii="Times New Roman" w:hAnsi="Times New Roman" w:cs="Times New Roman"/>
          <w:sz w:val="24"/>
          <w:szCs w:val="24"/>
        </w:rPr>
        <w:noBreakHyphen/>
        <w:t>network properties, such as interaction spatial redundancy (eigenvector centrality) and spatial complementarity (single</w:t>
      </w:r>
      <w:r>
        <w:rPr>
          <w:rFonts w:ascii="Times New Roman" w:hAnsi="Times New Roman" w:cs="Times New Roman"/>
          <w:sz w:val="24"/>
          <w:szCs w:val="24"/>
        </w:rPr>
        <w:noBreakHyphen/>
        <w:t xml:space="preserve">site interactions). This aligns with previous findings on plant and pollinator populations </w:t>
      </w:r>
      <w:r>
        <w:fldChar w:fldCharType="begin"/>
      </w:r>
      <w:r w:rsidR="00C951F3">
        <w:rPr>
          <w:rFonts w:ascii="Times New Roman" w:hAnsi="Times New Roman" w:cs="Times New Roman"/>
          <w:kern w:val="0"/>
          <w:sz w:val="24"/>
          <w:szCs w:val="24"/>
        </w:rPr>
        <w:instrText xml:space="preserve"> ADDIN ZOTERO_ITEM CSL_CITATION {"citationID":"K5TN40Tz","properties":{"formattedCitation":"(Fantinato {\\i{}et al.} 2021; Fijen {\\i{}et al.} 2025; Harz\\uc0\\u233{} {\\i{}et al.} 2018; Roulston &amp; Goodell 2011)","plainCitation":"(Fantinato et al. 2021; Fijen et al. 2025; Harzé et al. 2018; Roulston &amp; Goodell 2011)","noteIndex":0},"citationItems":[{"id":4927,"uris":["http://zotero.org/users/11234172/items/9PD3VPE5"],"itemData":{"id":4927,"type":"article-journal","abstract":"A fundamental question in community ecology is how the quantity of floral resources affects pollinator activity and how this relates to the structure and robustness of pollination networks. The issue has been mainly addressed at the species level, while at the community level several questions are still open. Using a species-rich semi-natural grassland as model ecosystem, we explored the relationship between community-level quantity of floral resources, the number of flower visits at community level and descriptors of the structure and robustness of pollination networks. To assess whether patterns of pollination interactions were consistent when using different types of floral resources, we measured three types of floral resources, namely the volume of nectar, the number of pollen grains and the number of flowers. Community-level pollinator visitation rate showed a hump-shaped relationship with the quantity of floral resources. Results were consistent among models employing different measures of floral resources as independent variables. The relationship between the quantity of floral resources and the structure and robustness of the network was not consistent among different types of floral resources; only intermediate levels of nectar volume were associated with high levels of network robustness. The pattern we found is in contrast with some former studies which reported positive linear relationships between the community-level visitation rate of pollinators and the quantity of floral resources. Rather, the observed hump-shaped pattern resembles the relationship previously found between the quantity of floral resources of a given plant species and its visitation rate per flower. Our results highlighted that, by using specific types of floral resources (e.g. the volume of nectar and the number of pollen grains), it is possible to reveal ecological processes that would be masked by using the number of flowers as the sole measure of floral resource. A free Plain Language Summary can be found within the Supporting Information of this article.","container-title":"Functional Ecology","DOI":"10.1111/1365-2435.13915","ISSN":"1365-2435","issue":"11","language":"en","license":"© 2021 The Authors. Functional Ecology published by John Wiley &amp; Sons Ltd on behalf of British Ecological Society","note":"_eprint: https://onlinelibrary.wiley.com/doi/pdf/10.1111/1365-2435.13915","page":"2461-2471","source":"Wiley Online Library","title":"Patterns of pollination interactions at the community level are related to the type and quantity of floral resources","volume":"35","author":[{"family":"Fantinato","given":"Edy"},{"family":"Sonkoly","given":"Judit"},{"family":"Török","given":"Péter"},{"family":"Buffa","given":"Gabriella"}],"issued":{"date-parts":[["2021"]]}}},{"id":4930,"uris":["http://zotero.org/users/11234172/items/345S3NK6"],"itemData":{"id":4930,"type":"article-journal","abstract":"To increase pollinator populations, international policy targets minimum levels of seminatural habitat cover, but it is unknown whether improving the quality of existing habitats could bring similar benefits without the need of reducing cropland area. Using data we collected in 26 Italian agricultural landscapes during the entire flying season, we explored the relative importance of habitat quantity (seminatural habitat cover) and quality (flower availability) on pollinator densities in seminatural habitats. We obtained transect-based counts and estimated the effect of habitat quantity (proportion of seminatural habitat) and quality (flower cover and richness) on wild bee and hoverfly densities. We used the relationships revealed in the data to simulate pollinator population sizes in landscapes with varying habitat quantity and quality. Wild bee densities were only related to flower availability, whereas hoverfly densities were additionally related to seminatural habitat cover. We found that in complex agricultural landscapes (above 15% seminatural habitat cover), improving habitat quality increased pollinator populations more effectively than increasing habitat quantity. However, increasing habitat quantity was by far the most effective approach for boosting pollinator populations in simple landscapes.","container-title":"Conservation Biology","DOI":"10.1111/cobi.14317","ISSN":"1523-1739","issue":"1","language":"en","license":"© 2024 The Author(s). Conservation Biology published by Wiley Periodicals LLC on behalf of Society for Conservation Biology.","note":"_eprint: https://onlinelibrary.wiley.com/doi/pdf/10.1111/cobi.14317","page":"e14317","source":"Wiley Online Library","title":"Analyzing the relative importance of habitat quantity and quality for boosting pollinator populations in agricultural landscapes","volume":"39","author":[{"family":"Fijen","given":"Thijs P. M."},{"family":"Bishop","given":"Gabriella A."},{"family":"Ganuza","given":"Cristina"},{"family":"Scheper","given":"Jeroen"},{"family":"Kleijn","given":"David"}],"issued":{"date-parts":[["2025"]]}}},{"id":4925,"uris":["http://zotero.org/users/11234172/items/KPI8VW5Q"],"itemData":{"id":4925,"type":"article-journal","abstract":"Recent declines of bee species have led to great interest in preserving and promoting bee populations for agricultural and wild plant pollination. Many correlational studies have examined the indirect effects of factors such as landscape context and land management practices and found great variation in bee response. We focus here on the evidence for effects of direct factors (i.e., food resources, nesting resources, and incidental risks) regulating bee populations and then interpret varied responses to indirect factors through their species-specific and habitat-specific effects on direct factors. We find strong evidence for food resource availability regulating bee populations, but little clear evidence that other direct factors are commonly limiting. We recommend manipulative experiments to illuminate the effects of these different factors. We contend that much of the variation in impact from indirect factors, such as grazing, can be explained by the relationships between indirect factors and floral resource availability based on environmental circumstances.","container-title":"Annual Review of Entomology","DOI":"10.1146/annurev-ento-120709-144802","ISSN":"0066-4170, 1545-4487","issue":"Volume 56, 2011","language":"en","note":"publisher: Annual Reviews","page":"293-312","source":"www.annualreviews.org","title":"The Role of Resources and Risks in Regulating Wild Bee Populations","volume":"56","author":[{"family":"Roulston","given":"T'ai H."},{"family":"Goodell","given":"Karen"}],"issued":{"date-parts":[["2011",1,7]]}}},{"id":5692,"uris":["http://zotero.org/users/11234172/items/LAXVYXYB"],"itemData":{"id":5692,"type":"article-journal","abstract":"Persistence of restored populations depends on growth, reproduction, dispersal, local adaptation, and a suitable landscape pattern to foster metapopulation dynamics. Although the negative effects of habitat fragmentation on plant population dynamics are well understood, particularly in grasslands, the population traits that control grassland restoration are less known. We reviewed the use of population traits for evaluating grassland restoration success based on 141 publications (1986–2015). The results demonstrated that population demography was relatively well-assessed but detailed studies providing information on key stages of the life cycle were lacking despite their importance in determining population viability. Vegetative and generative performances have been thoroughly investigated, notably the component</w:instrText>
      </w:r>
      <w:r w:rsidR="00C951F3" w:rsidRPr="00051BA3">
        <w:rPr>
          <w:rFonts w:ascii="Times New Roman" w:hAnsi="Times New Roman" w:cs="Times New Roman"/>
          <w:kern w:val="0"/>
          <w:sz w:val="24"/>
          <w:szCs w:val="24"/>
          <w:lang w:val="en-GB"/>
        </w:rPr>
        <w:instrText xml:space="preserve">s of plant fitness, such as reproductive output, while genetic and spatial population structures were largely ignored. More work on the population effects of ecological restoration would be welcomed, particularly with a focus on population genetics. Targeted species were principally common and dominant natives, or invasive plants while rare or threatened species were poorly considered. Evaluation of ecological restoration should be conducted at different scales of ecological complexity, but so far, communities and ecosystems are over represented, and more focus should be directed towards a population approach as population traits are essential indicators of restoration success.","container-title":"Restoration Ecology","DOI":"10.1111/rec.12663","ISSN":"1526-100X","issue":"2","language":"en","license":"© 2018 Society for Ecological Restoration","note":"_eprint: https://onlinelibrary.wiley.com/doi/pdf/10.1111/rec.12663","page":"227-234","source":"Wiley Online Library","title":"Towards a population approach for evaluating grassland restoration—a systematic review","volume":"26","author":[{"family":"Harzé","given":"Mélanie"},{"family":"Monty","given":"Arnaud"},{"family":"Boisson","given":"Sylvain"},{"family":"Pitz","given":"Carline"},{"family":"Hermann","given":"Julia-Maria"},{"family":"Kollmann","given":"Johannes"},{"family":"Mahy","given":"Grégory"}],"issued":{"date-parts":[["2018"]]}}}],"schema":"https://github.com/citation-style-language/schema/raw/master/csl-citation.json"} </w:instrText>
      </w:r>
      <w:r>
        <w:rPr>
          <w:rFonts w:ascii="Times New Roman" w:hAnsi="Times New Roman" w:cs="Times New Roman"/>
          <w:kern w:val="0"/>
          <w:sz w:val="24"/>
          <w:szCs w:val="24"/>
        </w:rPr>
        <w:fldChar w:fldCharType="separate"/>
      </w:r>
      <w:r w:rsidR="00C951F3" w:rsidRPr="00051BA3">
        <w:rPr>
          <w:rFonts w:ascii="Times New Roman" w:hAnsi="Times New Roman" w:cs="Times New Roman"/>
          <w:sz w:val="24"/>
          <w:szCs w:val="24"/>
          <w:lang w:val="en-GB"/>
        </w:rPr>
        <w:t xml:space="preserve">(Fantinato </w:t>
      </w:r>
      <w:r w:rsidR="00C951F3" w:rsidRPr="00051BA3">
        <w:rPr>
          <w:rFonts w:ascii="Times New Roman" w:hAnsi="Times New Roman" w:cs="Times New Roman"/>
          <w:i/>
          <w:iCs/>
          <w:sz w:val="24"/>
          <w:szCs w:val="24"/>
          <w:lang w:val="en-GB"/>
        </w:rPr>
        <w:t>et al.</w:t>
      </w:r>
      <w:r w:rsidR="00C951F3" w:rsidRPr="00051BA3">
        <w:rPr>
          <w:rFonts w:ascii="Times New Roman" w:hAnsi="Times New Roman" w:cs="Times New Roman"/>
          <w:sz w:val="24"/>
          <w:szCs w:val="24"/>
          <w:lang w:val="en-GB"/>
        </w:rPr>
        <w:t xml:space="preserve"> 2021; Fijen </w:t>
      </w:r>
      <w:r w:rsidR="00C951F3" w:rsidRPr="00051BA3">
        <w:rPr>
          <w:rFonts w:ascii="Times New Roman" w:hAnsi="Times New Roman" w:cs="Times New Roman"/>
          <w:i/>
          <w:iCs/>
          <w:sz w:val="24"/>
          <w:szCs w:val="24"/>
          <w:lang w:val="en-GB"/>
        </w:rPr>
        <w:t>et al.</w:t>
      </w:r>
      <w:r w:rsidR="00C951F3" w:rsidRPr="00051BA3">
        <w:rPr>
          <w:rFonts w:ascii="Times New Roman" w:hAnsi="Times New Roman" w:cs="Times New Roman"/>
          <w:sz w:val="24"/>
          <w:szCs w:val="24"/>
          <w:lang w:val="en-GB"/>
        </w:rPr>
        <w:t xml:space="preserve"> 2025; Harzé </w:t>
      </w:r>
      <w:r w:rsidR="00C951F3" w:rsidRPr="00051BA3">
        <w:rPr>
          <w:rFonts w:ascii="Times New Roman" w:hAnsi="Times New Roman" w:cs="Times New Roman"/>
          <w:i/>
          <w:iCs/>
          <w:sz w:val="24"/>
          <w:szCs w:val="24"/>
          <w:lang w:val="en-GB"/>
        </w:rPr>
        <w:t>et al.</w:t>
      </w:r>
      <w:r w:rsidR="00C951F3" w:rsidRPr="00051BA3">
        <w:rPr>
          <w:rFonts w:ascii="Times New Roman" w:hAnsi="Times New Roman" w:cs="Times New Roman"/>
          <w:sz w:val="24"/>
          <w:szCs w:val="24"/>
          <w:lang w:val="en-GB"/>
        </w:rPr>
        <w:t xml:space="preserve"> 2018; Roulston &amp; Goodell 2011)</w:t>
      </w:r>
      <w:r>
        <w:rPr>
          <w:rFonts w:ascii="Times New Roman" w:hAnsi="Times New Roman" w:cs="Times New Roman"/>
          <w:kern w:val="0"/>
          <w:sz w:val="24"/>
          <w:szCs w:val="24"/>
        </w:rPr>
        <w:fldChar w:fldCharType="end"/>
      </w:r>
      <w:r w:rsidRPr="00051BA3">
        <w:rPr>
          <w:rFonts w:ascii="Times New Roman" w:hAnsi="Times New Roman" w:cs="Times New Roman"/>
          <w:sz w:val="24"/>
          <w:szCs w:val="24"/>
          <w:lang w:val="en-GB"/>
        </w:rPr>
        <w:t xml:space="preserve">. </w:t>
      </w:r>
      <w:r>
        <w:rPr>
          <w:rFonts w:ascii="Times New Roman" w:hAnsi="Times New Roman" w:cs="Times New Roman"/>
          <w:sz w:val="24"/>
          <w:szCs w:val="24"/>
        </w:rPr>
        <w:t>Restoration actions to achieve this include seed</w:t>
      </w:r>
      <w:r>
        <w:rPr>
          <w:rFonts w:ascii="Times New Roman" w:hAnsi="Times New Roman" w:cs="Times New Roman"/>
          <w:sz w:val="24"/>
          <w:szCs w:val="24"/>
        </w:rPr>
        <w:noBreakHyphen/>
        <w:t xml:space="preserve">bank activation through ground disturbance or the application of moderate grazing management </w:t>
      </w:r>
      <w:r w:rsidR="00557B44">
        <w:rPr>
          <w:rFonts w:ascii="Times New Roman" w:hAnsi="Times New Roman" w:cs="Times New Roman"/>
          <w:sz w:val="24"/>
          <w:szCs w:val="24"/>
        </w:rPr>
        <w:t xml:space="preserve">and </w:t>
      </w:r>
      <w:r w:rsidR="00557B44">
        <w:rPr>
          <w:rFonts w:ascii="Times New Roman" w:hAnsi="Times New Roman" w:cs="Times New Roman"/>
          <w:sz w:val="24"/>
          <w:szCs w:val="24"/>
        </w:rPr>
        <w:lastRenderedPageBreak/>
        <w:t xml:space="preserve">movement of livestock between grasslands </w:t>
      </w:r>
      <w:r>
        <w:rPr>
          <w:rFonts w:ascii="Times New Roman" w:hAnsi="Times New Roman" w:cs="Times New Roman"/>
          <w:sz w:val="24"/>
          <w:szCs w:val="24"/>
        </w:rPr>
        <w:t xml:space="preserve">to facilitate plant colonization </w:t>
      </w:r>
      <w:r w:rsidR="00C951F3">
        <w:rPr>
          <w:rFonts w:ascii="Times New Roman" w:hAnsi="Times New Roman" w:cs="Times New Roman"/>
          <w:sz w:val="24"/>
          <w:szCs w:val="24"/>
        </w:rPr>
        <w:fldChar w:fldCharType="begin"/>
      </w:r>
      <w:r w:rsidR="00C951F3">
        <w:rPr>
          <w:rFonts w:ascii="Times New Roman" w:hAnsi="Times New Roman" w:cs="Times New Roman"/>
          <w:sz w:val="24"/>
          <w:szCs w:val="24"/>
        </w:rPr>
        <w:instrText xml:space="preserve"> ADDIN ZOTERO_ITEM CSL_CITATION {"citationID":"tX9oUdBe","properties":{"formattedCitation":"(Chazdon {\\i{}et al.} 2024)","plainCitation":"(Chazdon et al. 2024)","noteIndex":0},"citationItems":[{"id":4934,"uris":["http://zotero.org/users/11234172/items/ZYJNQCV2"],"itemData":{"id":4934,"type":"article-journal","abstract":"The distinction often made between active and passive restoration approaches is a false dichotomy that persists in much research, policy, and financial structures today. We explore the contradictions imposed by this terminology and the merits of replacing this dichotomy with a continuum-based intervention framework. In practice, the main distinction between “passive” and “active” restoration lies primarily in the timing and extent of human interventions. We apply the intervention continuum framework to forest, grassland, stream, and peatland ecosystems, emphasizing that a range of restoration approaches within the scope of ecological or ecosystem restoration are typically employed in most projects, and all can contribute to the recovery of native ecosystems and prevention of further degradation. As restoration is fundamentally about the recovery of ecosystems, eliminating human sources of degradation is essential to enable ecosystem recovery processes, regardless of subsequent interventions that may be needed to assist recovery. Our review of restoration practices involving different levels of intervention highlights the benefits of recognizing a broader suite of restoration interventions in the financial and policy frameworks that currently underpin restoration activity. Effective restoration interventions emerge from an understanding of nature's intrinsic recovery potential and overcoming specific obstacles that limit this potential.","container-title":"Restoration Ecology","DOI":"10.1111/rec.13535","ISSN":"1526-100X","issue":"8","language":"en","license":"© 2021 Society for Ecological Restoration.","note":"_eprint: https://onlinelibrary.wiley.com/doi/pdf/10.1111/rec.13535","page":"e13535","source":"Wiley Online Library","title":"The intervention continuum in restoration ecology: rethinking the active–passive dichotomy","title-short":"The intervention continuum in restoration ecology","volume":"32","author":[{"family":"Chazdon","given":"Robin L."},{"family":"Falk","given":"Donald A."},{"family":"Banin","given":"Lindsay F."},{"family":"Wagner","given":"Markus"},{"family":"J. Wilson","given":"Sarah"},{"family":"Grabowski","given":"Robert C."},{"family":"Suding","given":"Katherine N."}],"issued":{"date-parts":[["2024"]]}}}],"schema":"https://github.com/citation-style-language/schema/raw/master/csl-citation.json"} </w:instrText>
      </w:r>
      <w:r w:rsidR="00C951F3">
        <w:rPr>
          <w:rFonts w:ascii="Times New Roman" w:hAnsi="Times New Roman" w:cs="Times New Roman"/>
          <w:sz w:val="24"/>
          <w:szCs w:val="24"/>
        </w:rPr>
        <w:fldChar w:fldCharType="separate"/>
      </w:r>
      <w:r w:rsidR="00C951F3" w:rsidRPr="00C951F3">
        <w:rPr>
          <w:rFonts w:ascii="Times New Roman" w:hAnsi="Times New Roman" w:cs="Times New Roman"/>
          <w:sz w:val="24"/>
          <w:szCs w:val="24"/>
        </w:rPr>
        <w:t xml:space="preserve">(Chazdon </w:t>
      </w:r>
      <w:r w:rsidR="00C951F3" w:rsidRPr="00C951F3">
        <w:rPr>
          <w:rFonts w:ascii="Times New Roman" w:hAnsi="Times New Roman" w:cs="Times New Roman"/>
          <w:i/>
          <w:iCs/>
          <w:sz w:val="24"/>
          <w:szCs w:val="24"/>
        </w:rPr>
        <w:t>et al.</w:t>
      </w:r>
      <w:r w:rsidR="00C951F3" w:rsidRPr="00C951F3">
        <w:rPr>
          <w:rFonts w:ascii="Times New Roman" w:hAnsi="Times New Roman" w:cs="Times New Roman"/>
          <w:sz w:val="24"/>
          <w:szCs w:val="24"/>
        </w:rPr>
        <w:t xml:space="preserve"> 2024)</w:t>
      </w:r>
      <w:r w:rsidR="00C951F3">
        <w:rPr>
          <w:rFonts w:ascii="Times New Roman" w:hAnsi="Times New Roman" w:cs="Times New Roman"/>
          <w:sz w:val="24"/>
          <w:szCs w:val="24"/>
        </w:rPr>
        <w:fldChar w:fldCharType="end"/>
      </w:r>
      <w:r>
        <w:rPr>
          <w:rFonts w:ascii="Times New Roman" w:hAnsi="Times New Roman" w:cs="Times New Roman"/>
          <w:sz w:val="24"/>
          <w:szCs w:val="24"/>
        </w:rPr>
        <w:t>. However, previous studies indicate that despite local conservation efforts, plant habitat</w:t>
      </w:r>
      <w:r>
        <w:rPr>
          <w:rFonts w:ascii="Times New Roman" w:hAnsi="Times New Roman" w:cs="Times New Roman"/>
          <w:sz w:val="24"/>
          <w:szCs w:val="24"/>
        </w:rPr>
        <w:noBreakHyphen/>
        <w:t xml:space="preserve">specialist declines can occur </w:t>
      </w:r>
      <w:r w:rsidR="00C951F3">
        <w:rPr>
          <w:rFonts w:ascii="Times New Roman" w:hAnsi="Times New Roman" w:cs="Times New Roman"/>
          <w:sz w:val="24"/>
          <w:szCs w:val="24"/>
        </w:rPr>
        <w:fldChar w:fldCharType="begin"/>
      </w:r>
      <w:r w:rsidR="00C951F3">
        <w:rPr>
          <w:rFonts w:ascii="Times New Roman" w:hAnsi="Times New Roman" w:cs="Times New Roman"/>
          <w:sz w:val="24"/>
          <w:szCs w:val="24"/>
        </w:rPr>
        <w:instrText xml:space="preserve"> ADDIN ZOTERO_ITEM CSL_CITATION {"citationID":"LAbAfq9F","properties":{"formattedCitation":"(Bauer &amp; Albrecht 2020)","plainCitation":"(Bauer &amp; Albrecht 2020)","noteIndex":0},"citationItems":[{"id":5920,"uris":["http://zotero.org/users/11234172/items/CNJSGG6G"],"itemData":{"id":5920,"type":"article-journal","abstract":"Calcareous grasslands harbor specialized species and are cultural relics. Therefore, they are prime habitates for conservation and restoration, but negative effects of inappropriate management, eutrophication and fragmentation continue to exist. These effects also influence grasslands which serve as target for restoration. Unfortunately, monitoring of long-term vegetation dynamics in calcareous grassland is rare. Here, we studied such changes over 35 years in the nature reserve ‘Garchinger Heide’, which is well known for its high abundance of rare species. Furthermore, it has been managed for conservation for more than 100 years. Therefore, species composition, total species richness, numbers of habitat specialists, red-list species and the proportion of graminoids were examined in 42 plots with frequency recording (1984–2018), and in 40 plots based on vegetation relevés (2003–2018). Ellenberg indicator values, specific leaf area, seed mass, and canopy height were analysed to detect patterns in trait response to environmental change. Within 35 years there were considerable vegetation dynamics. Specialist plants of calcareous grassland and red list species decreased, and insect-pollinated species declined in contrast to wind-pollinated species. Ellenberg N as well as graminoid abundance, canopy height, seed mass, and multi-trait functional dispersion increased, while specific leaf area showed no such change. Our results suggest that environmental change like deposition of atmospheric nitrogen, management regime, pollinator decline or isolation could be correlated with vegetation dynamics, while these correlations would need experimental confirmation. The grassland management certainly helped achieving several conservation goals, although it was not able to stop a decrease of rare species. The results show that also in nature reserves with long-term conservation management monitoring is essential to detect vegetation dynamics and to adjust the management to these changes.","collection-title":"From Nature Conservation to Ecosystem Restoration","container-title":"Basic and Applied Ecology","DOI":"10.1016/j.baae.2019.11.003","ISSN":"1439-1791","journalAbbreviation":"Basic and Applied Ecology","page":"15-26","source":"ScienceDirect","title":"Vegetation monitoring in a 100-year-old calcareous grassland reserve in Germany","volume":"42","author":[{"family":"Bauer","given":"Markus"},{"family":"Albrecht","given":"Harald"}],"issued":{"date-parts":[["2020",2,1]]}}}],"schema":"https://github.com/citation-style-language/schema/raw/master/csl-citation.json"} </w:instrText>
      </w:r>
      <w:r w:rsidR="00C951F3">
        <w:rPr>
          <w:rFonts w:ascii="Times New Roman" w:hAnsi="Times New Roman" w:cs="Times New Roman"/>
          <w:sz w:val="24"/>
          <w:szCs w:val="24"/>
        </w:rPr>
        <w:fldChar w:fldCharType="separate"/>
      </w:r>
      <w:r w:rsidR="00C951F3" w:rsidRPr="00C951F3">
        <w:rPr>
          <w:rFonts w:ascii="Times New Roman" w:hAnsi="Times New Roman" w:cs="Times New Roman"/>
          <w:sz w:val="24"/>
        </w:rPr>
        <w:t>(Bauer &amp; Albrecht 2020)</w:t>
      </w:r>
      <w:r w:rsidR="00C951F3">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3D0E4FA" w14:textId="528EA0A1" w:rsidR="00ED3D4B" w:rsidRPr="0005128A"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Surprisingly, at the landscape scale, the cover of other calcareous grasslands showed no significant effect on any of the tested meta-network metrics. Similar result were reported by </w:t>
      </w:r>
      <w:r>
        <w:fldChar w:fldCharType="begin"/>
      </w:r>
      <w:r>
        <w:rPr>
          <w:rFonts w:ascii="Times New Roman" w:hAnsi="Times New Roman" w:cs="Times New Roman"/>
          <w:sz w:val="24"/>
          <w:szCs w:val="24"/>
        </w:rPr>
        <w:instrText>ADDIN ZOTERO_ITEM CSL_CITATION {"citationID":"EbMkjJiL","properties":{"formattedCitation":"(Libr\\uc0\\u225{}n-Embid {\\i{}et al.} 2021)","plainCitation":"(Librán-Embid et al. 2021)","dontUpdate":true,"noteIndex":0},"citationItems":[{"id":2293,"uris":["http://zotero.org/users/11234172/items/Q3QJE3PI"],"itemData":{"id":2293,"type":"article-journal","abstract":"To understand how plant–pollinator interactions respond to habitat fragmentation, we need novel approaches that can capture properties that emerge at broad scales, where multiple communities engage in metanetworks. Here we studied plant–pollinator interactions over 2 years on 29 calcareous grassland fragments selected along independent gradients of habitat size and surrounding landscape diversity of cover types. We associated network centrality of plant–pollinator interactions and grassland fragments with their ecological and landscape traits, respectively. Interactions involving habitat specialist plants and large-bodied pollinators were the most central, implying that species with these traits form the metanetwork core. Large fragments embedded in landscapes with high land cover diversity exhibited the highest centrality; however, small fragments harboured many unique interactions not found on larger fragments. Intensively managed landscapes have reached a point in which all remaining fragments matter, meaning that losing any further areas may vanish unique interactions with unknown consequences for ecosystem functioning.","container-title":"Ecology Letters","DOI":"10.1111/ele.13892","ISSN":"1461-0248","issue":"12","language":"en","license":"© 2021 The Authors. Ecology Letters published by John Wiley &amp; Sons Ltd.","note":"_eprint: https://onlinelibrary.wiley.com/doi/pdf/10.1111/ele.13892","page":"2700-2712","source":"Wiley Online Library","title":"A plant–pollinator metanetwork along a habitat fragmentation gradient","volume":"24","author":[{"family":"Librán-Embid","given":"Felipe"},{"family":"Grass","given":"Ingo"},{"family":"Emer","given":"Carine"},{"family":"Ganuza","given":"Cristina"},{"family":"Tscharntke","given":"Teja"}],"issued":{"date-parts":[["2021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kern w:val="0"/>
          <w:sz w:val="24"/>
        </w:rPr>
        <w:t xml:space="preserve">Librán-Embid </w:t>
      </w:r>
      <w:r>
        <w:rPr>
          <w:rFonts w:ascii="Times New Roman" w:hAnsi="Times New Roman" w:cs="Times New Roman"/>
          <w:i/>
          <w:iCs/>
          <w:kern w:val="0"/>
          <w:sz w:val="24"/>
        </w:rPr>
        <w:t>et al.</w:t>
      </w:r>
      <w:r>
        <w:rPr>
          <w:rFonts w:ascii="Times New Roman" w:hAnsi="Times New Roman" w:cs="Times New Roman"/>
          <w:kern w:val="0"/>
          <w:sz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where grassland connectivity did not significantly influence interaction richness or single site interaction richness, likely due to the high fragmentation of the studied region in Germany. In our study, we extended the studied gradient of grassland connectivity substantially by including regions with higher percentage of calcareous grassland in the landscape</w:t>
      </w:r>
      <w:r w:rsidR="00557B44">
        <w:rPr>
          <w:rFonts w:ascii="Times New Roman" w:hAnsi="Times New Roman" w:cs="Times New Roman"/>
          <w:sz w:val="24"/>
          <w:szCs w:val="24"/>
        </w:rPr>
        <w:t xml:space="preserve"> and in other biogeographical regions</w:t>
      </w:r>
      <w:r>
        <w:rPr>
          <w:rFonts w:ascii="Times New Roman" w:hAnsi="Times New Roman" w:cs="Times New Roman"/>
          <w:sz w:val="24"/>
          <w:szCs w:val="24"/>
        </w:rPr>
        <w:t>, yet the results remain non-significant. This suggest that habitat connectivity may not always lead to higher levels of shared interactions, potentially reflecting the complex, multi</w:t>
      </w:r>
      <w:r>
        <w:rPr>
          <w:rFonts w:ascii="Times New Roman" w:hAnsi="Times New Roman" w:cs="Times New Roman"/>
          <w:sz w:val="24"/>
          <w:szCs w:val="24"/>
        </w:rPr>
        <w:noBreakHyphen/>
        <w:t xml:space="preserve">process dynamics of landscape fragmentation </w:t>
      </w:r>
      <w:r>
        <w:fldChar w:fldCharType="begin"/>
      </w:r>
      <w:r>
        <w:rPr>
          <w:rFonts w:ascii="Times New Roman" w:hAnsi="Times New Roman" w:cs="Times New Roman"/>
          <w:sz w:val="24"/>
          <w:szCs w:val="24"/>
        </w:rPr>
        <w:instrText>ADDIN ZOTERO_ITEM CSL_CITATION {"citationID":"nkffZjj7","properties":{"formattedCitation":"(Ib\\uc0\\u225{}\\uc0\\u241{}ez {\\i{}et al.} 2014)","plainCitation":"(Ibáñez et al. 2014)","noteIndex":0},"citationItems":[{"id":5697,"uris":["http://zotero.org/users/11234172/items/GV4GUZSZ"],"itemData":{"id":5697,"type":"article-journal","abstract":"When human activities change the landscape, several processes affecting remnant vegetation take place simultaneously: there is less suitable habitat, populations become isolated and the environmental conditions of the fragments frequently shift. Such changes affect vegetation in different ways – populations become smaller, the genetic exchanges between populations decline and species interactions are altered. The combination of processes taking place during fragmentation and their subsequent consequences generate a large variety of responses, positive and negative, among plants and plant communities. To assess the integrated effects of the processes taking place as a result of fragmentation (isolation, edge effects, fragment size and time since fragmentation) on organisms, we conducted a hierarchical meta-analysis of the studies reporting the effects of landscape fragmentation on plant species and plant communities. Our review included 259 peer-reviewed journal articles and 990 data entries. We found the frequency of reports of positive and negative responses to fragmentation were comparable but largely variable. Negative effects of fragmentation due to isolation, edge effects and fragment size were significant; but only edge effects and fragment size had significant positive effects. When looking at specific types of responses to isolation, we found negative effects on density, fecundity, colonization, succession rates and species richness, while positive effects were found on fecundity, herbivory/predation and colonization. Positive responses to edge effects were significant for density, fecundity, survival, growth and richness, and significantly negative for density, survival, colonization and richness. Effects of patch size were mostly significant for both positive and negative responses. We also assessed the effects of landscape fragmentation for different attributes of the studied system and found no differences among biomes, vegetation types, functional groups or life stages. Synthesis. Results of this integrated assessment indicate that broad generalizations about the effects of fragmentation on remnant vegetation may not be possible due the large variety of processes and responses associated with fragmentation. Results also identified key knowledge gaps, and areas of research needed to improve assessment and future management of plant species and plant communities in fragmented landscapes (e.g. lag effects, the role of the matrix and the patch quality and integrated effects along life cycles).","container-title":"Journal of Ecology","DOI":"10.1111/1365-2745.12223","ISSN":"1365-2745","issue":"4","language":"en","license":"© 2014 The Authors. Journal of Ecology © 2014 British Ecological Society","note":"_eprint: https://besjournals.onlinelibrary.wiley.com/doi/pdf/10.1111/1365-2745.12223","page":"882-895","source":"Wiley Online Library","title":"Assessing the integrated effects of landscape fragmentation on plants and plant communities: the challenge of multiprocess–multiresponse dynamics","title-short":"Assessing the integrated effects of landscape fragmentation on plants and plant communities","volume":"102","author":[{"family":"Ibáñez","given":"Inés"},{"family":"Katz","given":"Daniel S. W."},{"family":"Peltier","given":"Drew"},{"family":"Wolf","given":"Samantha M."},{"family":"Connor Barrie","given":"Benjamin T."}],"issued":{"date-parts":[["2014"]]}}}],"schema":"https://github.com/citation-style-language/schema/raw/master/csl-citation.json"}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(Ibáñez </w:t>
      </w:r>
      <w:r>
        <w:rPr>
          <w:rFonts w:ascii="Times New Roman" w:hAnsi="Times New Roman" w:cs="Times New Roman"/>
          <w:i/>
          <w:iCs/>
          <w:sz w:val="24"/>
          <w:szCs w:val="24"/>
        </w:rPr>
        <w:t>et al.</w:t>
      </w:r>
      <w:r>
        <w:rPr>
          <w:rFonts w:ascii="Times New Roman" w:hAnsi="Times New Roman" w:cs="Times New Roman"/>
          <w:sz w:val="24"/>
          <w:szCs w:val="24"/>
        </w:rPr>
        <w:t xml:space="preserve"> 2014)</w:t>
      </w:r>
      <w:r>
        <w:rPr>
          <w:rFonts w:ascii="Times New Roman" w:hAnsi="Times New Roman" w:cs="Times New Roman"/>
          <w:sz w:val="24"/>
          <w:szCs w:val="24"/>
        </w:rPr>
        <w:fldChar w:fldCharType="end"/>
      </w:r>
      <w:r w:rsidR="00557B44">
        <w:rPr>
          <w:rFonts w:ascii="Times New Roman" w:hAnsi="Times New Roman" w:cs="Times New Roman"/>
          <w:sz w:val="24"/>
          <w:szCs w:val="24"/>
        </w:rPr>
        <w:t xml:space="preserve">. </w:t>
      </w:r>
      <w:r>
        <w:rPr>
          <w:rFonts w:ascii="Times New Roman" w:hAnsi="Times New Roman" w:cs="Times New Roman"/>
          <w:sz w:val="24"/>
          <w:szCs w:val="24"/>
        </w:rPr>
        <w:t xml:space="preserve">Moreover, other studies have reported that connectivity effects can be taxon-dependent </w:t>
      </w:r>
      <w:r w:rsidR="00C951F3">
        <w:rPr>
          <w:rFonts w:ascii="Times New Roman" w:hAnsi="Times New Roman" w:cs="Times New Roman"/>
          <w:sz w:val="24"/>
          <w:szCs w:val="24"/>
        </w:rPr>
        <w:fldChar w:fldCharType="begin"/>
      </w:r>
      <w:r w:rsidR="00C951F3">
        <w:rPr>
          <w:rFonts w:ascii="Times New Roman" w:hAnsi="Times New Roman" w:cs="Times New Roman"/>
          <w:sz w:val="24"/>
          <w:szCs w:val="24"/>
        </w:rPr>
        <w:instrText xml:space="preserve"> ADDIN ZOTERO_ITEM CSL_CITATION {"citationID":"nKua6SST","properties":{"formattedCitation":"(Biegerl {\\i{}et al.} 2025; Kormann {\\i{}et al.} 2015)","plainCitation":"(Biegerl et al. 2025; Kormann et al. 2015)","noteIndex":0},"citationItems":[{"id":4918,"uris":["http://zotero.org/users/11234172/items/JYVXDA67"],"itemData":{"id":4918,"type":"article-journal","abstract":"Pollinator diversity is declining due to habitat loss, low habitat quality, limited habitat connectivity and intensification of agriculture in remaining high-value habitats within human-dominated landscapes, such as calcareous grasslands. Options to increase the local area of protected habitats are often limited. Therefore, we asked how local habitat quality as well as agri-environmental schemes (AES) and configuration of the surrounding landscape can contribute to the preservation of pollinator diversity. We sampled bees, butterflies and hoverflies in 40 calcareous grasslands in Germany, and assessed the effects of calcareous grassland area, quality and connectivity, agricultural configuration, and AES on species richness and abundance. While calcareous grassland area was an important predictor for bee and butterfly species richness, with strongest effects sizes for endangered species, local flower resources and nesting sites and landscape characteristics such as small field size, high proportion of organic fields and connectivity with other grasslands significantly enhanced pollinator richness with responses differing among the three studied taxa. In contrast to expectations, AES flowering fields did not benefit pollinator communities in grasslands. We conclude that improving local habitat quality in combination with targeted landscape management are effective measures to promote pollinator richness in highly fragmented protected grassland.","container-title":"Proceedings of the Royal Society B: Biological Sciences","DOI":"10.1098/rspb.2024.2686","issue":"2040","note":"publisher: Royal Society","page":"20242686","source":"royalsocietypublishing.org (Atypon)","title":"Landscape management can foster pollinator richness in fragmented high-value habitats","volume":"292","author":[{"family":"Biegerl","given":"Carolin"},{"family":"Holzschuh","given":"Andrea"},{"family":"Tanner","given":"Benjamin"},{"family":"Sponsler","given":"Douglas"},{"family":"Krauss","given":"Jochen"},{"family":"Zhang","given":"Jie"},{"family":"Steffan-Dewenter","given":"Ingolf"}],"issued":{"date-parts":[["2025",2,5]]}}},{"id":2249,"uris":["http://zotero.org/users/11234172/items/QRBUAJ4W"],"itemData":{"id":2249,"type":"article-journal","abstract":"Aim Biodiversity across the globe is heavily eroded by intensified management at local and landscape scales. Species communities of calcareous grasslands, which are among Europe's most diverse habitats, are severely threatened by the cessation of appropriate traditional management, loss of habitat connectivity and simplification of the surrounding landscape. However, our understanding of these often interrelated factors remains limited, in particular for trait-mediated responses across taxa. Here, we test the independent effects of local management (grazing, mowing and abandonment), habitat connectivity (measured by a connectivity index) and landscape complexity (indicated by the percentage of arable land) on nine taxa: plants, butterflies, bees, grasshoppers, hoverflies, spiders, true bugs, rove beetles and leafhoppers on small semi-natural calcareous grassland remnants (&lt; 1 ha). Location Central Germany. Methods We use a joint analysis across taxa to identify general and trait-mediated responses (body size and Red List status) in species richness, abundance and community composition. Results We identified three key drivers of local diversity patterns: First, an increasing proportion of arable land from 10% to 80% led to a 29% loss of overall species richness. Second, despite differences between taxa, increasing habitat connectivity generally enhanced species richness. Connectivity effects were more accentuated in the large species per taxon, which can be expected to be good dispersers. Finally, grazing re</w:instrText>
      </w:r>
      <w:r w:rsidR="00C951F3" w:rsidRPr="0005128A">
        <w:rPr>
          <w:rFonts w:ascii="Times New Roman" w:hAnsi="Times New Roman" w:cs="Times New Roman"/>
          <w:sz w:val="24"/>
          <w:szCs w:val="24"/>
        </w:rPr>
        <w:instrText xml:space="preserve">duced species richness and abundance much more than annual mowing or short-term abandonment (5–15 years), in particular for red-listed species. We attribute this to plant resource removal through overgrazing and trampling. Main conclusions For the conservation management of small calcareous grasslands, we advocate an alternating strategy of mowing or lenient grazing and short-term abandonment, prioritizing connected fragments surrounded by diverse landscapes. Despite taxon-specific responses, our study across nine taxa demonstrates universal, trait-mediated effects of management, landscape complexity and connectivity on local biodiversity in fragmented communities.","container-title":"Diversity and Distributions","DOI":"10.1111/ddi.12324","ISSN":"1472-4642","issue":"10","language":"en","license":"© 2015 John Wiley &amp; Sons Ltd","note":"_eprint: https://onlinelibrary.wiley.com/doi/pdf/10.1111/ddi.12324","page":"1204-1217","source":"Wiley Online Library","title":"Local and landscape management drive trait-mediated biodiversity of nine taxa on small grassland fragments","volume":"21","author":[{"family":"Kormann","given":"Urs"},{"family":"Rösch","given":"Verena"},{"family":"Batáry","given":"Péter"},{"family":"Tscharntke","given":"Teja"},{"family":"Orci","given":"Kirill Márk"},{"family":"Samu","given":"Ferenc"},{"family":"Scherber","given":"Christoph"}],"issued":{"date-parts":[["2015"]]}}}],"schema":"https://github.com/citation-style-language/schema/raw/master/csl-citation.json"} </w:instrText>
      </w:r>
      <w:r w:rsidR="00C951F3">
        <w:rPr>
          <w:rFonts w:ascii="Times New Roman" w:hAnsi="Times New Roman" w:cs="Times New Roman"/>
          <w:sz w:val="24"/>
          <w:szCs w:val="24"/>
        </w:rPr>
        <w:fldChar w:fldCharType="separate"/>
      </w:r>
      <w:r w:rsidR="00C951F3" w:rsidRPr="0005128A">
        <w:rPr>
          <w:rFonts w:ascii="Times New Roman" w:hAnsi="Times New Roman" w:cs="Times New Roman"/>
          <w:sz w:val="24"/>
          <w:szCs w:val="24"/>
        </w:rPr>
        <w:t xml:space="preserve">(Biegerl </w:t>
      </w:r>
      <w:r w:rsidR="00C951F3" w:rsidRPr="0005128A">
        <w:rPr>
          <w:rFonts w:ascii="Times New Roman" w:hAnsi="Times New Roman" w:cs="Times New Roman"/>
          <w:i/>
          <w:iCs/>
          <w:sz w:val="24"/>
          <w:szCs w:val="24"/>
        </w:rPr>
        <w:t>et al.</w:t>
      </w:r>
      <w:r w:rsidR="00C951F3" w:rsidRPr="0005128A">
        <w:rPr>
          <w:rFonts w:ascii="Times New Roman" w:hAnsi="Times New Roman" w:cs="Times New Roman"/>
          <w:sz w:val="24"/>
          <w:szCs w:val="24"/>
        </w:rPr>
        <w:t xml:space="preserve"> 2025; Kormann </w:t>
      </w:r>
      <w:r w:rsidR="00C951F3" w:rsidRPr="0005128A">
        <w:rPr>
          <w:rFonts w:ascii="Times New Roman" w:hAnsi="Times New Roman" w:cs="Times New Roman"/>
          <w:i/>
          <w:iCs/>
          <w:sz w:val="24"/>
          <w:szCs w:val="24"/>
        </w:rPr>
        <w:t>et al.</w:t>
      </w:r>
      <w:r w:rsidR="00C951F3" w:rsidRPr="0005128A">
        <w:rPr>
          <w:rFonts w:ascii="Times New Roman" w:hAnsi="Times New Roman" w:cs="Times New Roman"/>
          <w:sz w:val="24"/>
          <w:szCs w:val="24"/>
        </w:rPr>
        <w:t xml:space="preserve"> 2015)</w:t>
      </w:r>
      <w:r w:rsidR="00C951F3">
        <w:rPr>
          <w:rFonts w:ascii="Times New Roman" w:hAnsi="Times New Roman" w:cs="Times New Roman"/>
          <w:sz w:val="24"/>
          <w:szCs w:val="24"/>
        </w:rPr>
        <w:fldChar w:fldCharType="end"/>
      </w:r>
      <w:r w:rsidRPr="0005128A">
        <w:rPr>
          <w:rFonts w:ascii="Times New Roman" w:hAnsi="Times New Roman" w:cs="Times New Roman"/>
          <w:sz w:val="24"/>
          <w:szCs w:val="24"/>
        </w:rPr>
        <w:t xml:space="preserve">. </w:t>
      </w:r>
    </w:p>
    <w:p w14:paraId="3F6657FE" w14:textId="2DB6E0D7"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Nevertheless, our results suggest that surrounding AES can facilitate the recovery of metacommunity cohesion of calcareous grasslands by preventing meta-network impairment (i.e. lower grassland closeness centrality) and promoting interaction redundancy (here by reducing single-site interaction richness). This finding is also consistent with </w:t>
      </w:r>
      <w:r>
        <w:fldChar w:fldCharType="begin"/>
      </w:r>
      <w:r>
        <w:rPr>
          <w:rFonts w:ascii="Times New Roman" w:hAnsi="Times New Roman" w:cs="Times New Roman"/>
          <w:sz w:val="24"/>
          <w:szCs w:val="24"/>
        </w:rPr>
        <w:instrText>ADDIN ZOTERO_ITEM CSL_CITATION {"citationID":"2TQX4TL9","properties":{"formattedCitation":"(Libr\\uc0\\u225{}n-Embid {\\i{}et al.} 2021)","plainCitation":"(Librán-Embid et al. 2021)","dontUpdate":true,"noteIndex":0},"citationItems":[{"id":2293,"uris":["http://zotero.org/users/11234172/items/Q3QJE3PI"],"itemData":{"id":2293,"type":"article-journal","abstract":"To understand how plant–pollinator interactions respond to habitat fragmentation, we need novel approaches that can capture properties that emerge at broad scales, where multiple communities engage in metanetworks. Here we studied plant–pollinator interactions over 2 years on 29 calcareous grassland fragments selected along independent gradients of habitat size and surrounding landscape diversity of cover types. We associated network centrality of plant–pollinator interactions and grassland fragments with their ecological and landscape traits, respectively. Interactions involving habitat specialist plants and large-bodied pollinators were the most central, implying that species with these traits form the metanetwork core. Large fragments embedded in landscapes with high land cover diversity exhibited the highest centrality; however, small fragments harboured many unique interactions not found on larger fragments. Intensively managed landscapes have reached a point in which all remaining fragments matter, meaning that losing any further areas may vanish unique interactions with unknown consequences for ecosystem functioning.","container-title":"Ecology Letters","DOI":"10.1111/ele.13892","ISSN":"1461-0248","issue":"12","language":"en","license":"© 2021 The Authors. Ecology Letters published by John Wiley &amp; Sons Ltd.","note":"_eprint: https://onlinelibrary.wiley.com/doi/pdf/10.1111/ele.13892","page":"2700-2712","source":"Wiley Online Library","title":"A plant–pollinator metanetwork along a habitat fragmentation gradient","volume":"24","author":[{"family":"Librán-Embid","given":"Felipe"},{"family":"Grass","given":"Ingo"},{"family":"Emer","given":"Carine"},{"family":"Ganuza","given":"Cristina"},{"family":"Tscharntke","given":"Teja"}],"issued":{"date-parts":[["2021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kern w:val="0"/>
          <w:sz w:val="24"/>
        </w:rPr>
        <w:t xml:space="preserve">Librán-Embid </w:t>
      </w:r>
      <w:r>
        <w:rPr>
          <w:rFonts w:ascii="Times New Roman" w:hAnsi="Times New Roman" w:cs="Times New Roman"/>
          <w:i/>
          <w:iCs/>
          <w:kern w:val="0"/>
          <w:sz w:val="24"/>
        </w:rPr>
        <w:t>et al.</w:t>
      </w:r>
      <w:r>
        <w:rPr>
          <w:rFonts w:ascii="Times New Roman" w:hAnsi="Times New Roman" w:cs="Times New Roman"/>
          <w:kern w:val="0"/>
          <w:sz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who reported a negative effect of landscape diversity on the proportion of single-</w:t>
      </w:r>
      <w:r w:rsidR="00557B44">
        <w:rPr>
          <w:rFonts w:ascii="Times New Roman" w:hAnsi="Times New Roman" w:cs="Times New Roman"/>
          <w:sz w:val="24"/>
          <w:szCs w:val="24"/>
        </w:rPr>
        <w:t>site</w:t>
      </w:r>
      <w:r>
        <w:rPr>
          <w:rFonts w:ascii="Times New Roman" w:hAnsi="Times New Roman" w:cs="Times New Roman"/>
          <w:sz w:val="24"/>
          <w:szCs w:val="24"/>
        </w:rPr>
        <w:t xml:space="preserve"> interactions, yet in a 500 m buffer. In our study, this was only true for non-productive AES, such as flower fields and fallows, at 1 km buffer. Non-productive AES support plant diversity and increase pollinator richness and abundance by providing additional resources, particularly when they include local plants found in calcareous grasslands or have longer temporal continuity </w:t>
      </w:r>
      <w:r>
        <w:fldChar w:fldCharType="begin"/>
      </w:r>
      <w:r w:rsidR="00C951F3">
        <w:rPr>
          <w:rFonts w:ascii="Times New Roman" w:hAnsi="Times New Roman" w:cs="Times New Roman"/>
          <w:sz w:val="24"/>
          <w:szCs w:val="24"/>
        </w:rPr>
        <w:instrText xml:space="preserve"> ADDIN ZOTERO_ITEM CSL_CITATION {"citationID":"5GPWEFJf","properties":{"formattedCitation":"(Biegerl {\\i{}et al.} 2025; Geppert {\\i{}et al.} 2020; Sloan {\\i{}et al.} 2025)","plainCitation":"(Biegerl et al. 2025; Geppert et al. 2020; Sloan et al. 2025)","noteIndex":0},"citationItems":[{"id":4918,"uris":["http://zotero.org/users/11234172/items/JYVXDA67"],"itemData":{"id":4918,"type":"article-journal","abstract":"Pollinator diversity is declining due to habitat loss, low habitat quality, limited habitat connectivity and intensification of agriculture in remaining high-value habitats within human-dominated landscapes, such as calcareous grasslands. Options to increase the local area of protected habitats are often limited. Therefore, we asked how local habitat quality as well as agri-environmental schemes (AES) and configuration of the surrounding landscape can contribute to the preservation of pollinator diversity. We sampled bees, butterflies and hoverflies in 40 calcareous grasslands in Germany, and assessed the effects of calcareous grassland area, quality and connectivity, agricultural configuration, and AES on species richness and abundance. While calcareous grassland area was an important predictor for bee and butterfly species richness, with strongest effects sizes for endangered species, local flower resources and nesting sites and landscape characteristics such as small field size, high proportion of organic fields and connectivity with other grasslands significantly enhanced pollinator richness with responses differing among the three studied taxa. In contrast to expectations, AES flowering fields did not benefit pollinator communities in grasslands. We conclude that improving local habitat quality in combination with targeted landscape management are effective measures to promote pollinator richness in highly fragmented protected grassland.","container-title":"Proceedings of the Royal Society B: Biological Sciences","DOI":"10.1098/rspb.2024.2686","issue":"2040","note":"publisher: Royal Society","page":"20242686","source":"royalsocietypublishing.org (Atypon)","title":"Landscape management can foster pollinator richness in fragmented high-value habitats","volume":"292","author":[{"family":"Biegerl","given":"Carolin"},{"family":"Holzschuh","given":"Andrea"},{"family":"Tanner","given":"Benjamin"},{"family":"Sponsler","given":"Douglas"},{"family":"Krauss","given":"Jochen"},{"family":"Zhang","given":"Jie"},{"family":"Steffan-Dewenter","given":"Ingolf"}],"issued":{"date-parts":[["2025",2,5]]}}},{"id":4919,"uris":["http://zotero.org/users/11234172/items/PEKJHS4K"],"itemData":{"id":4919,"type":"article-journal","abstract":"Pollinators have experienced a dramatic decrease world-wide due to agricultural intensification. In many countries, agri-environment schemes (AES) have been introduced to counteract this current trend. However, until now, the relative importance of each AES for biodiversity and ecosystem services is still little understood and might change depending on landscape context. Complex landscape-experiments are required to fill this knowledge gap, enabling the implementation of sustainable intensification of food production. In our study, we compared the effectiveness of the two most popular AES in Germany, organic farming and flower strips, in supporting pollinators and flower resources. We selected nine landscapes along a gradient of increasing field size, (configurational heterogeneity), each with a triplet of winter wheat fields: one organic, one conventional with flower strip and one conventional without flower strip as a control. We surveyed insect-pollinated plants and pollinators (bumblebees, solitary bees and hoverflies). Additionally, we placed bumblebee colonies in the field edges to monitor their growth (colony weight gain) and reproduction (queen production). Flower strips stood out with the highest abundance and richness of pollinators. In contrast, bumblebee colony growth and plant richness benefited equally from organic and flower strip schemes. At the landscape scale, smaller fields had a positive effect on plant richness and bumblebee reproduction in flower strips. By contrast, bumblebee colonies in organic agriculture benefited most from large fields, as large organic fields provided much more flower resources than the narrow flower strips. Synthesis and applications. Our results showed that both local and landscape management shaped pollinator communities and their reproduction. Overall, organic farming and flower strips appeared to be effective tools to mitigate flower shortage in conventional cereal fields, with organic farming supporting the highest flowering plant cover per field. Flower strips enhanced local pollinator richness most, but increased bumblebee reproduction only when the surrounding landscapes had small fields with long field borders. Therefore, our results reveal that European Union policies need to take into account that the effectiveness of agri-environment schemes depends on the structure of the surrounding landscape.","container-title":"Journal of Applied Ecology","DOI":"10.1111/1365-2664.13682","ISSN":"1365-2664","issue":"9","language":"en","license":"© 2020 British Ecological Society","note":"_eprint: https://onlinelibrary.wiley.com/doi/pdf/10.1111/1365-2664.13682","page":"1818-1828","source":"Wiley Online Library","title":"Agri-environment schemes enhance pollinator richness and abundance but bumblebee reproduction depends on field size","volume":"57","author":[{"family":"Geppert","given":"Costanza"},{"family":"Hass","given":"Annika"},{"family":"Földesi","given":"Rita"},{"family":"Donkó","given":"Bettina"},{"family":"Akter","given":"Asma"},{"family":"Tscharntke","given":"Teja"},{"family":"Batáry","given":"Péter"}],"issued":{"date-parts":[["2020"]]}}},{"id":5924,"uris":["http://zotero.org/users/11234172/items/J7GZWD8W"],"itemData":{"id":5924,"type":"article-journal","abstract":"Pollinator populations have shown substantial declines worldwide due to habitat loss and fragmentation, with bees experiencing particularly sharp reductions in both species richness and abundance. While local management measures in semi-natural grasslands and agri-environmental schemes (AES) intend to improve farmland biodiversity, the extent to which these measures affect foraging behavior and pollen resource use of bees in fragmented landscapes remains poorly understood. In this study, we tested the hypothesis that landscape and grassland management affected floral resource use of two bumblebee species (Bombus lapidarius and B. pascuorum) in fragmented calcareous grasslands in Central Germany. Pollen metabarcoding was used to assess the richness and community composition of pollen loads from both bumblebee species. Moreover, we compared the interactions detected by pollen analysis to those observed in transect walks. The results showed that both species, despite their ecological differences, regularly foraged in the broader landscape and collected pollen from plant species found in AES. The percentage of land within 1 km allocated to non-productive AES (e.g., flower strips) was associated with higher pollen species richness in both B. lapidarius and B. pascuorum. In the latter species, this relationship was particularly strong in smaller sites. Landscape and site management variables affected the species composition of pollen assemblages collected from both bumblebee species. Our study showed that bumblebees utilize floral resources from the broader landscape, especially from non-productive AES, illustrating that these schemes can support local pollinator communities of semi-natural grasslands in fragmented agricultural landscapes.","container-title":"Biological Conservation","DOI":"10.1016/j.biocon.2025.111379","ISSN":"0006-3207","journalAbbreviation":"Biological Conservation","page":"111379","source":"ScienceDirect","title":"Floral resources in the surrounding landscape matrix augment plant species richness of bumblebee pollen loads in small, fragmented calcareous grasslands","volume":"310","author":[{"family":"Sloan","given":"Evan Taylor"},{"family":"Hannappel","given":"Ira"},{"family":"Hass","given":"Annika L."},{"family":"Keller","given":"Alexander"},{"family":"Librán-Embid","given":"Felipe"},{"family":"Devalez","given":"Jelle"},{"family":"Velado-Alonso","given":"Elena"},{"family":"Reitalu","given":"Triin"},{"family":"Westphal","given":"Catrin"},{"family":"Jacquemyn","given":"Hans"}],"issued":{"date-parts":[["2025",10,1]]}}}],"schema":"https://github.com/citation-style-language/schema/raw/master/csl-citation.json"} </w:instrText>
      </w:r>
      <w:r>
        <w:rPr>
          <w:rFonts w:ascii="Times New Roman" w:hAnsi="Times New Roman" w:cs="Times New Roman"/>
          <w:sz w:val="24"/>
          <w:szCs w:val="24"/>
        </w:rPr>
        <w:fldChar w:fldCharType="separate"/>
      </w:r>
      <w:r w:rsidR="00C951F3" w:rsidRPr="00C951F3">
        <w:rPr>
          <w:rFonts w:ascii="Times New Roman" w:hAnsi="Times New Roman" w:cs="Times New Roman"/>
          <w:sz w:val="24"/>
          <w:szCs w:val="24"/>
        </w:rPr>
        <w:t xml:space="preserve">(Biegerl </w:t>
      </w:r>
      <w:r w:rsidR="00C951F3" w:rsidRPr="00C951F3">
        <w:rPr>
          <w:rFonts w:ascii="Times New Roman" w:hAnsi="Times New Roman" w:cs="Times New Roman"/>
          <w:i/>
          <w:iCs/>
          <w:sz w:val="24"/>
          <w:szCs w:val="24"/>
        </w:rPr>
        <w:t>et al.</w:t>
      </w:r>
      <w:r w:rsidR="00C951F3" w:rsidRPr="00C951F3">
        <w:rPr>
          <w:rFonts w:ascii="Times New Roman" w:hAnsi="Times New Roman" w:cs="Times New Roman"/>
          <w:sz w:val="24"/>
          <w:szCs w:val="24"/>
        </w:rPr>
        <w:t xml:space="preserve"> 2025; </w:t>
      </w:r>
      <w:r w:rsidR="00C951F3" w:rsidRPr="00C951F3">
        <w:rPr>
          <w:rFonts w:ascii="Times New Roman" w:hAnsi="Times New Roman" w:cs="Times New Roman"/>
          <w:sz w:val="24"/>
          <w:szCs w:val="24"/>
        </w:rPr>
        <w:lastRenderedPageBreak/>
        <w:t xml:space="preserve">Geppert </w:t>
      </w:r>
      <w:r w:rsidR="00C951F3" w:rsidRPr="00C951F3">
        <w:rPr>
          <w:rFonts w:ascii="Times New Roman" w:hAnsi="Times New Roman" w:cs="Times New Roman"/>
          <w:i/>
          <w:iCs/>
          <w:sz w:val="24"/>
          <w:szCs w:val="24"/>
        </w:rPr>
        <w:t>et al.</w:t>
      </w:r>
      <w:r w:rsidR="00C951F3" w:rsidRPr="00C951F3">
        <w:rPr>
          <w:rFonts w:ascii="Times New Roman" w:hAnsi="Times New Roman" w:cs="Times New Roman"/>
          <w:sz w:val="24"/>
          <w:szCs w:val="24"/>
        </w:rPr>
        <w:t xml:space="preserve"> 2020; Sloan </w:t>
      </w:r>
      <w:r w:rsidR="00C951F3" w:rsidRPr="00C951F3">
        <w:rPr>
          <w:rFonts w:ascii="Times New Roman" w:hAnsi="Times New Roman" w:cs="Times New Roman"/>
          <w:i/>
          <w:iCs/>
          <w:sz w:val="24"/>
          <w:szCs w:val="24"/>
        </w:rPr>
        <w:t>et al.</w:t>
      </w:r>
      <w:r w:rsidR="00C951F3" w:rsidRPr="00C951F3">
        <w:rPr>
          <w:rFonts w:ascii="Times New Roman" w:hAnsi="Times New Roman" w:cs="Times New Roman"/>
          <w:sz w:val="24"/>
          <w:szCs w:val="24"/>
        </w:rPr>
        <w:t xml:space="preserve"> 2025)</w:t>
      </w:r>
      <w:r>
        <w:rPr>
          <w:rFonts w:ascii="Times New Roman" w:hAnsi="Times New Roman" w:cs="Times New Roman"/>
          <w:sz w:val="24"/>
          <w:szCs w:val="24"/>
        </w:rPr>
        <w:fldChar w:fldCharType="end"/>
      </w:r>
      <w:r w:rsidRPr="00557B44">
        <w:rPr>
          <w:rFonts w:ascii="Times New Roman" w:hAnsi="Times New Roman" w:cs="Times New Roman"/>
          <w:sz w:val="24"/>
          <w:szCs w:val="24"/>
        </w:rPr>
        <w:t xml:space="preserve">. </w:t>
      </w:r>
      <w:r>
        <w:rPr>
          <w:rFonts w:ascii="Times New Roman" w:hAnsi="Times New Roman" w:cs="Times New Roman"/>
          <w:sz w:val="24"/>
          <w:szCs w:val="24"/>
        </w:rPr>
        <w:t xml:space="preserve">By supporting species’ richness and abundance at the landscape level, non-productive AES can potentially increase the probability of interactions also occurring in other grasslands. This could result in an extended overlap of interactions among sites, thus ensuring interaction redundancy across space, as pointed by the weak evidence of increased apparent influence (0.17 ± 0.10, p = 0.07, see SM A 7 Table S16). Productive AES, such as organic farming, can benefit pollinator populations </w:t>
      </w:r>
      <w:r>
        <w:fldChar w:fldCharType="begin"/>
      </w:r>
      <w:r w:rsidR="00C951F3">
        <w:rPr>
          <w:rFonts w:ascii="Times New Roman" w:hAnsi="Times New Roman" w:cs="Times New Roman"/>
          <w:sz w:val="24"/>
          <w:szCs w:val="24"/>
        </w:rPr>
        <w:instrText xml:space="preserve"> ADDIN ZOTERO_ITEM CSL_CITATION {"citationID":"Po4ZgBAM","properties":{"formattedCitation":"(Czechofsky {\\i{}et al.} 2025)","plainCitation":"(Czechofsky et al. 2025)","noteIndex":0},"citationItems":[{"id":5709,"uris":["http://zotero.org/users/11234172/items/5KBH3YH9"],"itemData":{"id":5709,"type":"article-journal","abstract":"Pollinators face significant global decline due to agricultural intensification. Local conservation measures (CMs), such as an annual flower field, an organic crop field, or a perennial semi-natural habitat (SNH), are implemented to counteract this negative trend, with variable success, as local CMs may not support ecological processes at spatially larger landscape scales. This can be achieved by planning CMs at the landscape level (landscape CMs), for example multiple fields with a specific CM or combinations of different types of CMs. However, interactive effects between combined landscape CMs may limit their efficacy. It remains unclear whether multiple combined landscape CMs can be more efficient than single landscape CMs (synergistic effect), reduce each other's effectiveness (antagonistic effect) or sum together (additive effect) to promote biodiversity. We assessed the interactive effects of three landscape CMs: organic crops, annual flower fields and perennial SNH, on wild bee species richness and densities at the landscape scale. We surveyed wild bees within multiple transects in 32 landscapes and upscaled bee densities to the landscape scale. We observed a synergistic effect between landscape-scale organic crops and perennial SNH. Specifically, non-Bombus wild bee densities increased with higher area shares of organic crops in landscapes with high area shares of perennial SNH. This is likely due to their provision of complementary resources. For bumblebees, we found an additive effect of organic crops and perennial SNH, suggesting that bumblebees benefit from both landscape CMs regardless of their respective availability. However, antagonistic effects were more common, for example between landscape-scale annual flower fields and organic farming, both providing similar floral resources and disturbance regimes. Only in landscapes with a low area of annual flower fields did bee densities and species richness increase with area shares of organic crops. Synthesis and applications. Interactive effects of combined landscape CMs determine landscape-scale bee densities and species richness. In particular, functionally different and complementary resources of landscape CMs can create synergistic effects while antagonistic effects occur when similar resources are provided in different landscape CMs. Hence, we recommend that future bee conservation schemes should use smart mixing of landscape CMs, based on judicious evaluation to maximize complementary benefits and reduce redundancy with respect to landscape-scale floral resources and provision of nesting habitat, while considering the habitat requirements of different bee taxonomic groups.","container-title":"Journal of Applied Ecology","DOI":"10.1111/1365-2664.70074","ISSN":"1365-2664","issue":"7","language":"en","note":"_eprint: https://besjournals.onlinelibrary.wiley.com/doi/pdf/10.1111/1365-2664.70074","page":"1706-1717","source":"Wiley Online Library","title":"Landscape-level synergistic and antagonistic effects among conservation measures drive wild bee densities and species richness","volume":"62","author":[{"family":"Czechofsky","given":"Kathrin"},{"family":"Westphal","given":"Catrin"},{"family":"Paxton","given":"Robert J."},{"family":"Hass","given":"Annika L."}],"issued":{"date-parts":[["2025"]]}}}],"schema":"https://github.com/citation-style-language/schema/raw/master/csl-citation.json"} </w:instrText>
      </w:r>
      <w:r>
        <w:rPr>
          <w:rFonts w:ascii="Times New Roman" w:hAnsi="Times New Roman" w:cs="Times New Roman"/>
          <w:sz w:val="24"/>
          <w:szCs w:val="24"/>
        </w:rPr>
        <w:fldChar w:fldCharType="separate"/>
      </w:r>
      <w:r w:rsidR="00C951F3" w:rsidRPr="00C951F3">
        <w:rPr>
          <w:rFonts w:ascii="Times New Roman" w:hAnsi="Times New Roman" w:cs="Times New Roman"/>
          <w:sz w:val="24"/>
          <w:szCs w:val="24"/>
        </w:rPr>
        <w:t xml:space="preserve">(Czechofsky </w:t>
      </w:r>
      <w:r w:rsidR="00C951F3" w:rsidRPr="00C951F3">
        <w:rPr>
          <w:rFonts w:ascii="Times New Roman" w:hAnsi="Times New Roman" w:cs="Times New Roman"/>
          <w:i/>
          <w:iCs/>
          <w:sz w:val="24"/>
          <w:szCs w:val="24"/>
        </w:rPr>
        <w:t>et al.</w:t>
      </w:r>
      <w:r w:rsidR="00C951F3" w:rsidRPr="00C951F3">
        <w:rPr>
          <w:rFonts w:ascii="Times New Roman" w:hAnsi="Times New Roman" w:cs="Times New Roman"/>
          <w:sz w:val="24"/>
          <w:szCs w:val="24"/>
        </w:rPr>
        <w:t xml:space="preserve"> 2025)</w:t>
      </w:r>
      <w:r>
        <w:rPr>
          <w:rFonts w:ascii="Times New Roman" w:hAnsi="Times New Roman" w:cs="Times New Roman"/>
          <w:sz w:val="24"/>
          <w:szCs w:val="24"/>
        </w:rPr>
        <w:fldChar w:fldCharType="end"/>
      </w:r>
      <w:r>
        <w:rPr>
          <w:rFonts w:ascii="Times New Roman" w:hAnsi="Times New Roman" w:cs="Times New Roman"/>
          <w:sz w:val="24"/>
          <w:szCs w:val="24"/>
        </w:rPr>
        <w:t xml:space="preserve"> and may contribute to landscape heterogeneity </w:t>
      </w:r>
      <w:r>
        <w:fldChar w:fldCharType="begin"/>
      </w:r>
      <w:r w:rsidR="00B217B8">
        <w:rPr>
          <w:rFonts w:ascii="Times New Roman" w:hAnsi="Times New Roman" w:cs="Times New Roman"/>
          <w:sz w:val="24"/>
          <w:szCs w:val="24"/>
        </w:rPr>
        <w:instrText xml:space="preserve"> ADDIN ZOTERO_ITEM CSL_CITATION {"citationID":"o3WNpgGI","properties":{"formattedCitation":"(G\\uc0\\u225{}mez-Viru\\uc0\\u233{}s {\\i{}et al.} 2015)","plainCitation":"(Gámez-Virués et al. 2015)","noteIndex":0},"citationItems":[{"id":5719,"uris":["http://zotero.org/users/11234172/items/UE2WEXE2"],"itemData":{"id":5719,"type":"article-journal","abstract":"Biodiversity loss can affect the viability of ecosystems by decreasing the ability of communities to respond to environmental change and disturbances. Agricultural intensification is a major driver of biodiversity loss and has multiple components operating at different spatial scales: from in-field management intensity to landscape-scale simplification. Here we show that landscape-level effects dominate functional community composition and can even buffer the effects of in-field management intensification on functional homogenization, and that animal communities in real-world managed landscapes show a unified response (across orders and guilds) to both landscape-scale simplification and in-field intensification. Adults and larvae with specialized feeding habits, species with shorter activity periods and relatively small body sizes are selected against in simplified landscapes with intense in-field management. Our results demonstrate that the diversity of land cover types at the landscape scale is critical for maintaining communities, which are functionally diverse, even in landscapes where in-field management intensity is high.","container-title":"Nature Communications","DOI":"10.1038/ncomms9568","ISSN":"2041-1723","issue":"1","journalAbbreviation":"Nat Commun","language":"en","license":"2015 The Author(s)","note":"publisher: Nature Publishing Group","page":"8568","source":"www.nature.com","title":"Landscape simplification filters species traits and drives biotic homogenization","volume":"6","author":[{"family":"Gámez-Virués","given":"Sagrario"},{"family":"Perović","given":"David J."},{"family":"Gossner","given":"Martin M."},{"family":"Börschig","given":"Carmen"},{"family":"Blüthgen","given":"Nico"},{"family":"Jong","given":"Heike","non-dropping-particle":"de"},{"family":"Simons","given":"Nadja K."},{"family":"Klein","given":"Alexandra-Maria"},{"family":"Krauss","given":"Jochen"},{"family":"Maier","given":"Gwen"},{"family":"Scherber","given":"Christoph"},{"family":"Steckel","given":"Juliane"},{"family":"Rothenwöhrer","given":"Christoph"},{"family":"Steffan-Dewenter","given":"Ingolf"},{"family":"Weiner","given":"Christiane N."},{"family":"Weisser","given":"Wolfgang"},{"family":"Werner","given":"Michael"},{"family":"Tscharntke","given":"Teja"},{"family":"Westphal","given":"Catrin"}],"issued":{"date-parts":[["2015",10,20]]}}}],"schema":"https://github.com/citation-style-language/schema/raw/master/csl-citation.json"} </w:instrText>
      </w:r>
      <w:r>
        <w:rPr>
          <w:rFonts w:ascii="Times New Roman" w:hAnsi="Times New Roman" w:cs="Times New Roman"/>
          <w:sz w:val="24"/>
          <w:szCs w:val="24"/>
        </w:rPr>
        <w:fldChar w:fldCharType="separate"/>
      </w:r>
      <w:r w:rsidR="00B217B8" w:rsidRPr="00B217B8">
        <w:rPr>
          <w:rFonts w:ascii="Times New Roman" w:hAnsi="Times New Roman" w:cs="Times New Roman"/>
          <w:sz w:val="24"/>
          <w:szCs w:val="24"/>
        </w:rPr>
        <w:t xml:space="preserve">(Gámez-Virués </w:t>
      </w:r>
      <w:r w:rsidR="00B217B8" w:rsidRPr="00B217B8">
        <w:rPr>
          <w:rFonts w:ascii="Times New Roman" w:hAnsi="Times New Roman" w:cs="Times New Roman"/>
          <w:i/>
          <w:iCs/>
          <w:sz w:val="24"/>
          <w:szCs w:val="24"/>
        </w:rPr>
        <w:t>et al.</w:t>
      </w:r>
      <w:r w:rsidR="00B217B8" w:rsidRPr="00B217B8">
        <w:rPr>
          <w:rFonts w:ascii="Times New Roman" w:hAnsi="Times New Roman" w:cs="Times New Roman"/>
          <w:sz w:val="24"/>
          <w:szCs w:val="24"/>
        </w:rPr>
        <w:t xml:space="preserve"> 2015)</w:t>
      </w:r>
      <w:r>
        <w:rPr>
          <w:rFonts w:ascii="Times New Roman" w:hAnsi="Times New Roman" w:cs="Times New Roman"/>
          <w:sz w:val="24"/>
          <w:szCs w:val="24"/>
        </w:rPr>
        <w:fldChar w:fldCharType="end"/>
      </w:r>
      <w:r>
        <w:rPr>
          <w:rFonts w:ascii="Times New Roman" w:hAnsi="Times New Roman" w:cs="Times New Roman"/>
          <w:sz w:val="24"/>
          <w:szCs w:val="24"/>
        </w:rPr>
        <w:t xml:space="preserve">, thereby facilitating shared interactions at landscape level as shown by reduced closeness centrality. </w:t>
      </w:r>
    </w:p>
    <w:p w14:paraId="3B25BAD4" w14:textId="5A96B208"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Contrary to our expectations, single</w:t>
      </w:r>
      <w:r>
        <w:rPr>
          <w:rFonts w:ascii="Times New Roman" w:hAnsi="Times New Roman" w:cs="Times New Roman"/>
          <w:sz w:val="24"/>
          <w:szCs w:val="24"/>
        </w:rPr>
        <w:noBreakHyphen/>
        <w:t>site interactions were not dominated by habitat</w:t>
      </w:r>
      <w:r w:rsidR="00186F21">
        <w:rPr>
          <w:rFonts w:ascii="Times New Roman" w:hAnsi="Times New Roman" w:cs="Times New Roman"/>
          <w:sz w:val="24"/>
          <w:szCs w:val="24"/>
        </w:rPr>
        <w:t>-</w:t>
      </w:r>
      <w:r>
        <w:rPr>
          <w:rFonts w:ascii="Times New Roman" w:hAnsi="Times New Roman" w:cs="Times New Roman"/>
          <w:sz w:val="24"/>
          <w:szCs w:val="24"/>
        </w:rPr>
        <w:t>specialists or by species with higher interaction speciali</w:t>
      </w:r>
      <w:r w:rsidR="00E60331">
        <w:rPr>
          <w:rFonts w:ascii="Times New Roman" w:hAnsi="Times New Roman" w:cs="Times New Roman"/>
          <w:sz w:val="24"/>
          <w:szCs w:val="24"/>
        </w:rPr>
        <w:t>z</w:t>
      </w:r>
      <w:r>
        <w:rPr>
          <w:rFonts w:ascii="Times New Roman" w:hAnsi="Times New Roman" w:cs="Times New Roman"/>
          <w:sz w:val="24"/>
          <w:szCs w:val="24"/>
        </w:rPr>
        <w:t>ation. Besides, interaction specialization index showed mostly weak relationships with meta</w:t>
      </w:r>
      <w:r>
        <w:rPr>
          <w:rFonts w:ascii="Times New Roman" w:hAnsi="Times New Roman" w:cs="Times New Roman"/>
          <w:sz w:val="24"/>
          <w:szCs w:val="24"/>
        </w:rPr>
        <w:noBreakHyphen/>
        <w:t>network metrics. This aligns with previously reported patterns w</w:t>
      </w:r>
      <w:r w:rsidR="00C456C3">
        <w:rPr>
          <w:rFonts w:ascii="Times New Roman" w:hAnsi="Times New Roman" w:cs="Times New Roman"/>
          <w:sz w:val="24"/>
          <w:szCs w:val="24"/>
        </w:rPr>
        <w:t>h</w:t>
      </w:r>
      <w:r>
        <w:rPr>
          <w:rFonts w:ascii="Times New Roman" w:hAnsi="Times New Roman" w:cs="Times New Roman"/>
          <w:sz w:val="24"/>
          <w:szCs w:val="24"/>
        </w:rPr>
        <w:t xml:space="preserve">ere interactions involving generalist plant and bee species are more persistent across space and time </w:t>
      </w:r>
      <w:r>
        <w:fldChar w:fldCharType="begin"/>
      </w:r>
      <w:r>
        <w:rPr>
          <w:rFonts w:ascii="Times New Roman" w:hAnsi="Times New Roman" w:cs="Times New Roman"/>
          <w:sz w:val="24"/>
          <w:szCs w:val="24"/>
        </w:rPr>
        <w:instrText>ADDIN ZOTERO_ITEM CSL_CITATION {"citationID":"xh4T8QEA","properties":{"formattedCitation":"(Resasco {\\i{}et al.} 2021)","plainCitation":"(Resasco et al. 2021)","noteIndex":0},"citationItems":[{"id":5022,"uris":["http://zotero.org/users/11234172/items/ZKYR7DUJ"],"itemData":{"id":5022,"type":"article-journal","abstract":"Generalist species are the linchpins of networks, as they are important for maintaining network structure and function. Previous studies have shown that interactions between generalists tend to occur consistently across years and sites. However, the link between temporal and spatial interaction persistence across scales remains unclear. To address this gap, we collected data on plant–pollinator interactions throughout the flowering period for 5 yr across six plots in a subalpine meadow in the Rocky Mountains. We found that interactions between generalists tended to persist more in time and space such that interactions near the network core were more frequently recorded across years, within seasons, and among plots. We posit that species' tolerance of environmental variation across time and space plays a key role in generalization by regulating spatiotemporal overlap with interaction partners. Our results imply a role of spatiotemporal environmental variation in organizing species interactions, marrying niche concepts that emphasize species environmental constraints and their community role.","container-title":"Ecology","DOI":"10.1002/ecy.3359","ISSN":"1939-9170","issue":"6","language":"en","license":"© 2021 by the Ecological Society of America","note":"_eprint: https://onlinelibrary.wiley.com/doi/pdf/10.1002/ecy.3359","page":"e03359","source":"Wiley Online Library","title":"Plant–pollinator interactions between generalists persist over time and space","volume":"102","author":[{"family":"Resasco","given":"Julian"},{"family":"Chacoff","given":"Natacha P."},{"family":"Vázquez","given":"Diego P."}],"issued":{"date-parts":[["2021"]]}}}],"schema":"https://github.com/citation-style-language/schema/raw/master/csl-citation.json"}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kern w:val="0"/>
          <w:sz w:val="24"/>
        </w:rPr>
        <w:t xml:space="preserve">(Resasco </w:t>
      </w:r>
      <w:r w:rsidRPr="00557B44">
        <w:rPr>
          <w:rFonts w:ascii="Times New Roman" w:hAnsi="Times New Roman" w:cs="Times New Roman"/>
          <w:i/>
          <w:iCs/>
          <w:kern w:val="0"/>
          <w:sz w:val="24"/>
        </w:rPr>
        <w:t>et al</w:t>
      </w:r>
      <w:r>
        <w:rPr>
          <w:rFonts w:ascii="Times New Roman" w:hAnsi="Times New Roman" w:cs="Times New Roman"/>
          <w:kern w:val="0"/>
          <w:sz w:val="24"/>
        </w:rPr>
        <w:t>. 2021)</w:t>
      </w:r>
      <w:r>
        <w:rPr>
          <w:rFonts w:ascii="Times New Roman" w:hAnsi="Times New Roman" w:cs="Times New Roman"/>
          <w:sz w:val="24"/>
          <w:szCs w:val="24"/>
        </w:rPr>
        <w:fldChar w:fldCharType="end"/>
      </w:r>
      <w:r>
        <w:rPr>
          <w:rFonts w:ascii="Times New Roman" w:hAnsi="Times New Roman" w:cs="Times New Roman"/>
          <w:sz w:val="24"/>
          <w:szCs w:val="24"/>
        </w:rPr>
        <w:t xml:space="preserve">. New studies support the hypothesis that generalism </w:t>
      </w:r>
      <w:r w:rsidR="00A16A15" w:rsidRPr="00A16A15">
        <w:rPr>
          <w:rFonts w:ascii="Times New Roman" w:hAnsi="Times New Roman" w:cs="Times New Roman"/>
          <w:sz w:val="24"/>
          <w:szCs w:val="24"/>
        </w:rPr>
        <w:t>does not drive species’ ecological success, but rather emerges as a result of it</w:t>
      </w:r>
      <w:r w:rsidR="00A16A15">
        <w:rPr>
          <w:rFonts w:ascii="Times New Roman" w:hAnsi="Times New Roman" w:cs="Times New Roman"/>
          <w:sz w:val="24"/>
          <w:szCs w:val="24"/>
        </w:rPr>
        <w:t xml:space="preserve">. </w:t>
      </w:r>
      <w:r w:rsidR="00A16A15" w:rsidRPr="00A16A15">
        <w:rPr>
          <w:rFonts w:ascii="Times New Roman" w:hAnsi="Times New Roman" w:cs="Times New Roman"/>
          <w:sz w:val="24"/>
          <w:szCs w:val="24"/>
        </w:rPr>
        <w:t xml:space="preserve">In this view, larger abundances and broader range sizes—rather than intrinsic functional traits—provide species with the opportunity to expand their interaction range, that is, to express their generalist potential. </w:t>
      </w:r>
      <w:r>
        <w:fldChar w:fldCharType="begin"/>
      </w:r>
      <w:r>
        <w:rPr>
          <w:rFonts w:ascii="Times New Roman" w:hAnsi="Times New Roman" w:cs="Times New Roman"/>
          <w:sz w:val="24"/>
          <w:szCs w:val="24"/>
        </w:rPr>
        <w:instrText>ADDIN ZOTERO_ITEM CSL_CITATION {"citationID":"d1aAQ6UD","properties":{"formattedCitation":"(Hurtado {\\i{}et al.} 2024)","plainCitation":"(Hurtado et al. 2024)","noteIndex":0},"citationItems":[{"id":5020,"uris":["http://zotero.org/users/11234172/items/K5MGHEBE"],"itemData":{"id":5020,"type":"article-journal","abstract":"Generalism in resource use is commonly considered a critical driver of population success, species distribution and extinction risk. This idea can be questioned as generalism may be a result rather than the cause of species abundance and range size. We tested these contrasting causal hypotheses focusing on host use in three databases encompassing approximately 44,000 mutualistic (hummingbird–plant), commensalistic (lichen–plant) and parasitic (flea–mammal) interactions in 617 ecological communities across the Americas and Eurasia. Across all interaction types, our analyses indicated that range size and abundance influence the probability of encountering hosts and set the arena for species to express generalism potentials or adapt to new hosts. Hence, our findings support the hypothesis that generalism is a consequence of species ecological success. This highlights the importance of ecological opportunity in driving species characteristics considered key for their survival and conservation.","container-title":"Nature Ecology &amp; Evolution","DOI":"10.1038/s41559-024-02484-8","ISSN":"2397-334X","issue":"9","journalAbbreviation":"Nat Ecol Evol","language":"en","license":"2024 The Author(s), under exclusive licence to Springer Nature Limited","note":"publisher: Nature Publishing Group","page":"1602-1611","source":"www.nature.com","title":"Generalism in species interactions is more the consequence than the cause of ecological success","volume":"8","author":[{"family":"Hurtado","given":"Pilar"},{"family":"Aragón","given":"Gregorio"},{"family":"Vicente","given":"Marina"},{"family":"Dalsgaard","given":"Bo"},{"family":"Krasnov","given":"Boris R."},{"family":"Calatayud","given":"Joaquín"}],"issued":{"date-parts":[["2024",9]]}}}],"schema":"https://github.com/citation-style-language/schema/raw/master/csl-citation.json"}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kern w:val="0"/>
          <w:sz w:val="24"/>
        </w:rPr>
        <w:t xml:space="preserve">(Hurtado </w:t>
      </w:r>
      <w:r>
        <w:rPr>
          <w:rFonts w:ascii="Times New Roman" w:hAnsi="Times New Roman" w:cs="Times New Roman"/>
          <w:i/>
          <w:iCs/>
          <w:kern w:val="0"/>
          <w:sz w:val="24"/>
        </w:rPr>
        <w:t>et al.</w:t>
      </w:r>
      <w:r>
        <w:rPr>
          <w:rFonts w:ascii="Times New Roman" w:hAnsi="Times New Roman" w:cs="Times New Roman"/>
          <w:kern w:val="0"/>
          <w:sz w:val="24"/>
        </w:rPr>
        <w:t xml:space="preserve"> 2024)</w:t>
      </w:r>
      <w:r>
        <w:rPr>
          <w:rFonts w:ascii="Times New Roman" w:hAnsi="Times New Roman" w:cs="Times New Roman"/>
          <w:sz w:val="24"/>
          <w:szCs w:val="24"/>
        </w:rPr>
        <w:fldChar w:fldCharType="end"/>
      </w:r>
      <w:r>
        <w:rPr>
          <w:rFonts w:ascii="Times New Roman" w:hAnsi="Times New Roman" w:cs="Times New Roman"/>
          <w:sz w:val="24"/>
          <w:szCs w:val="24"/>
        </w:rPr>
        <w:t xml:space="preserve">. This suggests that specialist species may have higher capacities to increase their interaction niche than previously thought, if the ecological conditions are favorable to them </w:t>
      </w:r>
      <w:r>
        <w:fldChar w:fldCharType="begin"/>
      </w:r>
      <w:r>
        <w:rPr>
          <w:rFonts w:ascii="Times New Roman" w:hAnsi="Times New Roman" w:cs="Times New Roman"/>
          <w:sz w:val="24"/>
          <w:szCs w:val="24"/>
        </w:rPr>
        <w:instrText>ADDIN ZOTERO_ITEM CSL_CITATION {"citationID":"SLq7O6XJ","properties":{"formattedCitation":"(Hurtado {\\i{}et al.} 2024)","plainCitation":"(Hurtado et al. 2024)","noteIndex":0},"citationItems":[{"id":5020,"uris":["http://zotero.org/users/11234172/items/K5MGHEBE"],"itemData":{"id":5020,"type":"article-journal","abstract":"Generalism in resource use is commonly considered a critical driver of population success, species distribution and extinction risk. This idea can be questioned as generalism may be a result rather than the cause of species abundance and range size. We tested these contrasting causal hypotheses focusing on host use in three databases encompassing approximately 44,000 mutualistic (hummingbird–plant), commensalistic (lichen–plant) and parasitic (flea–mammal) interactions in 617 ecological communities across the Americas and Eurasia. Across all interaction types, our analyses indicated that range size and abundance influence the probability of encountering hosts and set the arena for species to express generalism potentials or adapt to new hosts. Hence, our findings support the hypothesis that generalism is a consequence of species ecological success. This highlights the importance of ecological opportunity in driving species characteristics considered key for their survival and conservation.","container-title":"Nature Ecology &amp; Evolution","DOI":"10.1038/s41559-024-02484-8","ISSN":"2397-334X","issue":"9","journalAbbreviation":"Nat Ecol Evol","language":"en","license":"2024 The Author(s), under exclusive licence to Springer Nature Limited","note":"publisher: Nature Publishing Group","page":"1602-1611","source":"www.nature.com","title":"Generalism in species interactions is more the consequence than the cause of ecological success","volume":"8","author":[{"family":"Hurtado","given":"Pilar"},{"family":"Aragón","given":"Gregorio"},{"family":"Vicente","given":"Marina"},{"family":"Dalsgaard","given":"Bo"},{"family":"Krasnov","given":"Boris R."},{"family":"Calatayud","given":"Joaquín"}],"issued":{"date-parts":[["2024",9]]}}}],"schema":"https://github.com/citation-style-language/schema/raw/master/csl-citation.json"}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kern w:val="0"/>
          <w:sz w:val="24"/>
        </w:rPr>
        <w:t xml:space="preserve">(Hurtado </w:t>
      </w:r>
      <w:r>
        <w:rPr>
          <w:rFonts w:ascii="Times New Roman" w:hAnsi="Times New Roman" w:cs="Times New Roman"/>
          <w:i/>
          <w:iCs/>
          <w:kern w:val="0"/>
          <w:sz w:val="24"/>
        </w:rPr>
        <w:t>et al.</w:t>
      </w:r>
      <w:r>
        <w:rPr>
          <w:rFonts w:ascii="Times New Roman" w:hAnsi="Times New Roman" w:cs="Times New Roman"/>
          <w:kern w:val="0"/>
          <w:sz w:val="24"/>
        </w:rPr>
        <w:t xml:space="preserve"> 2024)</w:t>
      </w:r>
      <w:r>
        <w:rPr>
          <w:rFonts w:ascii="Times New Roman" w:hAnsi="Times New Roman" w:cs="Times New Roman"/>
          <w:sz w:val="24"/>
          <w:szCs w:val="24"/>
        </w:rPr>
        <w:fldChar w:fldCharType="end"/>
      </w:r>
      <w:r>
        <w:rPr>
          <w:rFonts w:ascii="Times New Roman" w:hAnsi="Times New Roman" w:cs="Times New Roman"/>
          <w:sz w:val="24"/>
          <w:szCs w:val="24"/>
        </w:rPr>
        <w:t xml:space="preserve">. Thus, restoration practices should focus on both, support generalist species to foster interaction redundancy but also in promoting favorable conditions for specialists to underpin interaction complementarity. </w:t>
      </w:r>
    </w:p>
    <w:p w14:paraId="317D2C23" w14:textId="489BB87F"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Despite using a large dataset across different geographical regions, there are some limitations worth mentioning. We defined meta-networks based on inferred links from the overlap </w:t>
      </w:r>
      <w:r>
        <w:rPr>
          <w:rFonts w:ascii="Times New Roman" w:hAnsi="Times New Roman" w:cs="Times New Roman"/>
          <w:sz w:val="24"/>
          <w:szCs w:val="24"/>
        </w:rPr>
        <w:lastRenderedPageBreak/>
        <w:t>of grassland</w:t>
      </w:r>
      <w:r>
        <w:rPr>
          <w:rFonts w:ascii="Times New Roman" w:hAnsi="Times New Roman" w:cs="Times New Roman"/>
          <w:sz w:val="24"/>
          <w:szCs w:val="24"/>
        </w:rPr>
        <w:noBreakHyphen/>
        <w:t xml:space="preserve">level plant-pollinator networks, and thus represent implicit connections rather than direct, observed interactions between sites, </w:t>
      </w:r>
      <w:r w:rsidR="00404919">
        <w:rPr>
          <w:rFonts w:ascii="Times New Roman" w:hAnsi="Times New Roman" w:cs="Times New Roman"/>
          <w:sz w:val="24"/>
          <w:szCs w:val="24"/>
        </w:rPr>
        <w:t xml:space="preserve">similarly as in the previous studies </w:t>
      </w:r>
      <w:r>
        <w:rPr>
          <w:rFonts w:ascii="Times New Roman" w:hAnsi="Times New Roman" w:cs="Times New Roman"/>
          <w:sz w:val="24"/>
          <w:szCs w:val="24"/>
        </w:rPr>
        <w:t xml:space="preserve">by </w:t>
      </w:r>
      <w:r>
        <w:fldChar w:fldCharType="begin"/>
      </w:r>
      <w:r w:rsidR="000C6146">
        <w:rPr>
          <w:rFonts w:ascii="Times New Roman" w:hAnsi="Times New Roman" w:cs="Times New Roman"/>
          <w:sz w:val="24"/>
          <w:szCs w:val="24"/>
        </w:rPr>
        <w:instrText xml:space="preserve"> ADDIN ZOTERO_ITEM CSL_CITATION {"citationID":"JFn38RHs","properties":{"formattedCitation":"(Emer {\\i{}et al.} 2018; Libr\\uc0\\u225{}n-Embid {\\i{}et al.} 2021)","plainCitation":"(Emer et al. 2018; Librán-Embid et al. 2021)","dontUpdate":true,"noteIndex":0},"citationItems":[{"id":2289,"uris":["http://zotero.org/users/11234172/items/Z93SVR46"],"itemData":{"id":2289,"type":"article-journal","abstract":"Mutualistic interactions repeatedly preserved across fragmented landscapes can scale-up to form a spatial metanetwork describing the distribution of interactions across patches. We explored the structure of a bird seed-dispersal (BSD) metanetwork in 16 Neotropical forest fragments to test whether a distinct subset of BSD-interactions may mediate landscape functional connectivity. The metanetwork is interaction-rich, modular and poorly connected, showing high beta-diversity and turnover of species and interactions. Interactions involving large-sized species were lost in fragments &lt; 10 000 ha, indicating a strong filtering by habitat fragmentation on the functional diversity of BSD-interactions. Persistent interactions were performed by small-seeded, fast growing plant species and by generalist, small-bodied bird species able to cross the fragmented landscape. This reduced subset of interactions forms the metanetwork components persisting to defaunation and fragmentation, and may generate long-term deficits of carbon storage while delaying forest regeneration at the landscape level.","container-title":"Ecology Letters","DOI":"10.1111/ele.12909","ISSN":"1461-0248","issue":"4","language":"en","license":"© 2018 John Wiley &amp; Sons Ltd/CNRS","note":"_eprint: https://onlinelibrary.wiley.com/doi/pdf/10.1111/ele.12909","page":"484-493","source":"Wiley Online Library","title":"Seed-dispersal interactions in fragmented landscapes – a metanetwork approach","volume":"21","author":[{"family":"Emer","given":"Carine"},{"family":"Galetti","given":"Mauro"},{"family":"Pizo","given":"Marco A."},{"family":"Guimarães Jr.","given":"Paulo R."},{"family":"Moraes","given":"Suelen"},{"family":"Piratelli","given":"Augusto"},{"family":"Jordano","given":"Pedro"}],"issued":{"date-parts":[["2018"]]}}},{"id":2293,"uris":["http://zotero.org/users/11234172/items/Q3QJE3PI"],"itemData":{"id":2293,"type":"article-journal","abstract":"To understand how plant–pollinator interactions respond to habitat fragmentation, we need novel approaches that can capture properties that emerge at broad scales, where multiple communities engage in metanetworks. Here we studied plant–pollinator interactions over 2 years on 29 calcareous grassland fragments selected along independent gradients of habitat size and surrounding landscape diversity of cover types. We associated network centrality of plant–pollinator interactions and grassland fragments with their ecological and landscape traits, respectively. Interactions involving habitat specialist plants and large-bodied pollinators were the most central, implying that species with these traits form the metanetwork core. Large fragments embedded in landscapes with high land cover diversity exhibited the highest centrality; however, small fragments harboured many unique interactions not found on larger fragments. Intensively managed landscapes have reached a point in which all remaining fragments matter, meaning that losing any further areas may vanish unique interactions with unknown consequences for ecosystem functioning.","container-title":"Ecology Letters","DOI":"10.1111/ele.13892","ISSN":"1461-0248","issue":"12","language":"en","license":"© 2021 The Authors. Ecology Letters published by John Wiley &amp; Sons Ltd.","note":"_eprint: https://onlinelibrary.wiley.com/doi/pdf/10.1111/ele.13892","page":"2700-2712","source":"Wiley Online Library","title":"A plant–pollinator metanetwork along a habitat fragmentation gradient","volume":"24","author":[{"family":"Librán-Embid","given":"Felipe"},{"family":"Grass","given":"Ingo"},{"family":"Emer","given":"Carine"},{"family":"Ganuza","given":"Cristina"},{"family":"Tscharntke","given":"Teja"}],"issued":{"date-parts":[["2021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Emer </w:t>
      </w:r>
      <w:r>
        <w:rPr>
          <w:rFonts w:ascii="Times New Roman" w:hAnsi="Times New Roman" w:cs="Times New Roman"/>
          <w:i/>
          <w:iCs/>
          <w:sz w:val="24"/>
          <w:szCs w:val="24"/>
        </w:rPr>
        <w:t>et al.</w:t>
      </w:r>
      <w:r>
        <w:rPr>
          <w:rFonts w:ascii="Times New Roman" w:hAnsi="Times New Roman" w:cs="Times New Roman"/>
          <w:sz w:val="24"/>
          <w:szCs w:val="24"/>
        </w:rPr>
        <w:t xml:space="preserve"> 2018 and Librán-Embid </w:t>
      </w:r>
      <w:r>
        <w:rPr>
          <w:rFonts w:ascii="Times New Roman" w:hAnsi="Times New Roman" w:cs="Times New Roman"/>
          <w:i/>
          <w:iCs/>
          <w:sz w:val="24"/>
          <w:szCs w:val="24"/>
        </w:rPr>
        <w:t>et al.</w:t>
      </w:r>
      <w:r>
        <w:rPr>
          <w:rFonts w:ascii="Times New Roman" w:hAnsi="Times New Roman" w:cs="Times New Roman"/>
          <w:sz w:val="24"/>
          <w:szCs w:val="24"/>
        </w:rPr>
        <w:t xml:space="preserve"> 2021</w:t>
      </w:r>
      <w:r>
        <w:rPr>
          <w:rFonts w:ascii="Times New Roman" w:hAnsi="Times New Roman" w:cs="Times New Roman"/>
          <w:sz w:val="24"/>
          <w:szCs w:val="24"/>
        </w:rPr>
        <w:fldChar w:fldCharType="end"/>
      </w:r>
      <w:r>
        <w:rPr>
          <w:rFonts w:ascii="Times New Roman" w:hAnsi="Times New Roman" w:cs="Times New Roman"/>
          <w:sz w:val="24"/>
          <w:szCs w:val="24"/>
        </w:rPr>
        <w:t xml:space="preserve">. Our monitoring might have constrained the observed interactions as well as the conditions to derive interaction specialization patterns, possibly ignoring biologically relevant temporal or spatial variation </w:t>
      </w:r>
      <w:r>
        <w:fldChar w:fldCharType="begin"/>
      </w:r>
      <w:r>
        <w:rPr>
          <w:rFonts w:ascii="Times New Roman" w:hAnsi="Times New Roman" w:cs="Times New Roman"/>
          <w:sz w:val="24"/>
          <w:szCs w:val="24"/>
        </w:rPr>
        <w:instrText>ADDIN ZOTERO_ITEM CSL_CITATION {"citationID":"chDFWCwN","properties":{"formattedCitation":"(CaraDonna &amp; Waser 2020)","plainCitation":"(CaraDonna &amp; Waser 2020)","noteIndex":0},"citationItems":[{"id":4942,"uris":["http://zotero.org/users/11234172/items/FADRFTKU"],"itemData":{"id":4942,"type":"article-journal","abstract":"Ecological communities consist of species that are joined in complex networks of interspecific interaction. These interactions often form and dissolve rapidly, but this temporal variation is not well integrated into our understanding of the causes and consequences of network structure. If interspecific interactions exhibit temporal flexibility across time periods over which organisms co-occur, then the emergent structure of the corresponding network may also be flexible, something that a temporally-static perspective will miss. Here, we use an empirical plant–pollinator system to examine short-term (week-to-week) flexibility in network structure (connectance, nestedness and specialization) and in the individual species interactions that contribute to that structure across three summer growing seasons in a subalpine ecosystem. We then compared the properties of weekly networks to the properties of cumulative networks that aggregate field observations over each full summer season. As a test of the potential robustness of networks to perturbation, we also simulated the random loss of species from weekly networks. A week-to-week view reveals considerable flexibility in the interactions of individual species and their contributions to network structure. For example, species that would be considered relatively generalized across their entire activity period may be much more specialized at certain times, and at no point as generalized as the cumulative network may suggest. Furthermore, a week-to-week view reveals corresponding flexibility in network structure and potential robustness throughout each summer growing season. We conclude that short-term flexibility in species interactions leads to short-term variation in network properties, and that a cumulative, season-long perspective may miss important aspects of the way in which species interact, with implications for understanding their ecology, evolution and conservation.","container-title":"Oikos","DOI":"10.1111/oik.07526","ISSN":"1600-0706","issue":"9","language":"en","license":"© 2020 Nordic Society Oikos. Published by John Wiley &amp; Sons Ltd","note":"_eprint: https://onlinelibrary.wiley.com/doi/pdf/10.1111/oik.07526","page":"1369-1380","source":"Wiley Online Library","title":"Temporal flexibility in the structure of plant–pollinator interaction networks","volume":"129","author":[{"family":"CaraDonna","given":"Paul J."},{"family":"Waser","given":"Nickolas M."}],"issued":{"date-parts":[["2020"]]}}}],"schema":"https://github.com/citation-style-language/schema/raw/master/csl-citation.json"}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rPr>
        <w:t>(CaraDonna &amp; Waser 2020)</w:t>
      </w:r>
      <w:r>
        <w:rPr>
          <w:rFonts w:ascii="Times New Roman" w:hAnsi="Times New Roman" w:cs="Times New Roman"/>
          <w:sz w:val="24"/>
          <w:szCs w:val="24"/>
        </w:rPr>
        <w:fldChar w:fldCharType="end"/>
      </w:r>
      <w:r>
        <w:rPr>
          <w:rFonts w:ascii="Times New Roman" w:hAnsi="Times New Roman" w:cs="Times New Roman"/>
          <w:sz w:val="24"/>
          <w:szCs w:val="24"/>
        </w:rPr>
        <w:t xml:space="preserve">. To improve our understanding of the meta-network structure and disentangle the potential effects of local and landscape context, future studies should consider additional aspects such as interaction nature (e.g. if an observed interaction is an opportunistic event), functional redundancy (e.g. different interactions with same ecological functions), phenological and temporal changes (e.g. varying observed interactions across time) and </w:t>
      </w:r>
      <w:r w:rsidR="00404919">
        <w:rPr>
          <w:rFonts w:ascii="Times New Roman" w:hAnsi="Times New Roman" w:cs="Times New Roman"/>
          <w:sz w:val="24"/>
          <w:szCs w:val="24"/>
        </w:rPr>
        <w:t xml:space="preserve">regional </w:t>
      </w:r>
      <w:r>
        <w:rPr>
          <w:rFonts w:ascii="Times New Roman" w:hAnsi="Times New Roman" w:cs="Times New Roman"/>
          <w:sz w:val="24"/>
          <w:szCs w:val="24"/>
        </w:rPr>
        <w:t xml:space="preserve">filtering (e.g. interactions constrained to certain regions), ultimately guiding future restoration practice. </w:t>
      </w:r>
    </w:p>
    <w:p w14:paraId="2A12FB61" w14:textId="78F31A3B"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Biogeographical differences and other regional particularities might have driven structural differences on the meta-networks among the countries studied. For instance, during the monitoring period, Spain was suffering an extreme drought </w:t>
      </w:r>
      <w:r>
        <w:fldChar w:fldCharType="begin"/>
      </w:r>
      <w:r>
        <w:rPr>
          <w:rFonts w:ascii="Times New Roman" w:hAnsi="Times New Roman" w:cs="Times New Roman"/>
          <w:sz w:val="24"/>
          <w:szCs w:val="24"/>
        </w:rPr>
        <w:instrText>ADDIN ZOTERO_ITEM CSL_CITATION {"citationID":"I9r83iCZ","properties":{"formattedCitation":"(AEMET 2023, 2024)","plainCitation":"(AEMET 2023, 2024)","noteIndex":0},"citationItems":[{"id":5723,"uris":["http://zotero.org/users/11234172/items/5ZSG7KKK"],"itemData":{"id":5723,"type":"report","title":"Resumen anual climatológico 2023.","URL":"https://www.aemet.es/documentos/es/serviciosclimaticos/vigilancia_clima/resumenes_climat/anuales/res_anual_clim_2023.pdf","author":[{"family":"AEMET","given":""}],"issued":{"date-parts":[["2023"]]}}},{"id":5724,"uris":["http://zotero.org/users/11234172/items/7W8NKUC2"],"itemData":{"id":5724,"type":"graphic","title":"Resumen anual climatológico 2024.","URL":"https://www.aemet.es/documentos/es/serviciosclimaticos/vigilancia_clima/resumenes_climat/anuales/res_anual_clim_2024.pdf","author":[{"family":"AEMET","given":""}],"issued":{"date-parts":[["2024"]]}}}],"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rPr>
        <w:t>(AEMET 2023, 2024)</w:t>
      </w:r>
      <w:r>
        <w:rPr>
          <w:rFonts w:ascii="Times New Roman" w:hAnsi="Times New Roman" w:cs="Times New Roman"/>
          <w:sz w:val="24"/>
          <w:szCs w:val="24"/>
        </w:rPr>
        <w:fldChar w:fldCharType="end"/>
      </w:r>
      <w:r>
        <w:rPr>
          <w:rFonts w:ascii="Times New Roman" w:hAnsi="Times New Roman" w:cs="Times New Roman"/>
          <w:sz w:val="24"/>
          <w:szCs w:val="24"/>
        </w:rPr>
        <w:t xml:space="preserve"> that impacted the number of floral resources and most probably the number of observed species </w:t>
      </w:r>
      <w:r>
        <w:fldChar w:fldCharType="begin"/>
      </w:r>
      <w:r>
        <w:rPr>
          <w:rFonts w:ascii="Times New Roman" w:hAnsi="Times New Roman" w:cs="Times New Roman"/>
          <w:sz w:val="24"/>
          <w:szCs w:val="24"/>
        </w:rPr>
        <w:instrText>ADDIN ZOTERO_ITEM CSL_CITATION {"citationID":"iKyLt8rb","properties":{"formattedCitation":"(Phillips {\\i{}et al.} 2018)","plainCitation":"(Phillips et al. 2018)","noteIndex":0},"citationItems":[{"id":5725,"uris":["http://zotero.org/users/11234172/items/QMDI6U3P"],"itemData":{"id":5725,"type":"article-journal","abstract":"Climate change is predicted to result in increased occurrence and intensity of drought in many regions worldwide. By increasing plant physiological stress, drought is likely to affect the floral resources (flowers, nectar and pollen) that are available to pollinators. However, little is known about impacts of drought at the community level, nor whether plant community functional composition influences these impacts. To address these knowledge gaps, we investigated the impacts of drought on floral resources in calcareous grassland. Drought was simulated using rain shelters and the impacts were explored at multiple scales and on four different experimental plant communities varying in functional trait composition. First, we investigated the effects of drought on nectar production of three common wildflower species (Lathyrus pratensis, Onobrychis viciifolia and Prunella vulgaris). In the drought treatment, L. pratensis and P. vulgaris had a lower proportion of flowers containing nectar and O. viciifolia had fewer flowers per raceme. Second, we measured the effects of drought on the diversity and abundance of floral resources across plant communities. Drought reduced the abundance of floral units for all plant communities, irrespective of functional composition, and reduced floral species richness for two of the communities. Functional diversity did not confer greater resistance to drought in terms of maintaining floral resources, probably because the effects of drought were ubiquitous across component plant communities. The findings indicate that drought has a substantial impact on the availability of floral resources in calcareous grassland, which will have consequences for pollinator behaviour and populations.","container-title":"Global Change Biology","DOI":"10.1111/gcb.14130","ISSN":"1365-2486","issue":"7","language":"en","license":"© 2018 The Authors. Global Change Biology Published by John Wiley &amp; Sons Ltd","note":"_eprint: https://onlinelibrary.wiley.com/doi/pdf/10.1111/gcb.14130","page":"3226-3235","source":"Wiley Online Library","title":"Drought reduces floral resources for pollinators","volume":"24","author":[{"family":"Phillips","given":"Benjamin B."},{"family":"Shaw","given":"Rosalind F."},{"family":"Holland","given":"Matthew J."},{"family":"Fry","given":"Ellen L."},{"family":"Bardgett","given":"Richard D."},{"family":"Bullock","given":"James M."},{"family":"Osborne","given":"Juliet L."}],"issued":{"date-parts":[["2018"]]}}}],"schema":"https://github.com/citation-style-language/schema/raw/master/csl-citation.json"}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(Phillips </w:t>
      </w:r>
      <w:r>
        <w:rPr>
          <w:rFonts w:ascii="Times New Roman" w:hAnsi="Times New Roman" w:cs="Times New Roman"/>
          <w:i/>
          <w:iCs/>
          <w:sz w:val="24"/>
          <w:szCs w:val="24"/>
        </w:rPr>
        <w:t>et al.</w:t>
      </w:r>
      <w:r>
        <w:rPr>
          <w:rFonts w:ascii="Times New Roman" w:hAnsi="Times New Roman" w:cs="Times New Roman"/>
          <w:sz w:val="24"/>
          <w:szCs w:val="24"/>
        </w:rPr>
        <w:t xml:space="preserve"> 2018)</w:t>
      </w:r>
      <w:r>
        <w:rPr>
          <w:rFonts w:ascii="Times New Roman" w:hAnsi="Times New Roman" w:cs="Times New Roman"/>
          <w:sz w:val="24"/>
          <w:szCs w:val="24"/>
        </w:rPr>
        <w:fldChar w:fldCharType="end"/>
      </w:r>
      <w:r>
        <w:rPr>
          <w:rFonts w:ascii="Times New Roman" w:hAnsi="Times New Roman" w:cs="Times New Roman"/>
          <w:sz w:val="24"/>
          <w:szCs w:val="24"/>
        </w:rPr>
        <w:t xml:space="preserve">. In Germany, the study region has experienced significant fragmentation of calcareous grasslands during last decades, resulting in widely scattered and small remaining patches </w:t>
      </w:r>
      <w:r>
        <w:fldChar w:fldCharType="begin"/>
      </w:r>
      <w:r>
        <w:rPr>
          <w:rFonts w:ascii="Times New Roman" w:hAnsi="Times New Roman" w:cs="Times New Roman"/>
          <w:sz w:val="24"/>
          <w:szCs w:val="24"/>
        </w:rPr>
        <w:instrText>ADDIN ZOTERO_ITEM CSL_CITATION {"citationID":"0vYw4sgd","properties":{"formattedCitation":"(Libr\\uc0\\u225{}n-Embid 2021)","plainCitation":"(Librán-Embid 2021)","noteIndex":0},"citationItems":[{"id":5685,"uris":["http://zotero.org/users/11234172/items/UI7727B4"],"itemData":{"id":5685,"type":"thesis","abstract":"Understanding the dynamics of species interactions under the threats of habitat loss and fragmentation can be key to develop measures preventing further degradation of natural and agricultural systems. Agroecological knowledge and state of the art technologies can help to conciliate the often-discrepant objectives of biodiversity conservation and agricultural production. Specifically, information on the characteristics of plant-pollinator networks in agroecosystems can unveil the most efficient strategies to preserve ecosystem functionality and pollination services provision.\nIn chapter 1, I focused on the contributions of new technology to the objective of turning agricultural landscapes increasingly compatible with biodiversity. I reviewed the applications of unmanned aerial vehicles (UAVs) in ecology and precision agriculture. I 1) identified existing applications, 2) discussed limitations and advantages of the current technology, 3) highlighted knowledge gaps and 4) proposed new applications.\nIn chapter 2, I studied the characteristics of a plant-pollinator metanetwork of calcareous grasslands embedded in an agricultural matrix. I characterized and discussed the structural properties of the network that determine its stability and resilience to perturbations. Furthermore, I identified the traits of the most central nodes in the network. I found that the metanetwork was significantly more modular and less connected than expected by chance. This reflects the existence of many fragment-unique interactions and is an indication of poor metanetwork stability. I also demonstrated that habitat size and the diversity of land cover types in the surroundings of a grassland fragment are significant predictors of site centrality. Thus, these features can help to identify the most important fragments for metanetwork cohesiveness. Additionally, I found that the centrality of interactions depends on the pollinator size, species identity and also on the plant’s habitat specialization.\nIn chapter 3, I compared plant-pollinator networks constructed with flower visitation data to networks constructed with pollen transport data. The level of specialization of pollen transport networks was higher than that of visitation networks, as half of the interactions in the visitation networks did not occur in the pollen transport networks. This highlights the fact that visitation does not necessarily imply pollen transport, and I discussed its implications for the conservation of pollination. Considering that high specialization is known to be associated with low stability in mutualistic networks, this result has important implications for conservation. According to these findings, traditional studies on plant-pollinator networks, based on visitation data, would overestimate the stability of pollination networks. Additionally, I identified that almost a third of the total number of interactions found are difficult to spot given their low frequency, occurring only in the pollen transport networks. Finally, I found positive effects of landscape diversity on the total number and proportion of single-fragment interactions for pollen transport, but not for visitation networks.\nIn conclusion, the protection of large and small calcareous grasslands as well as the enhancement of landscape heterogeneity was found to be essential for the maintenance of the plant-pollinator metanetwork. Furthermore, the importance of interactions among habitat specialist plants and large-bodied generalist pollinators appeared to be fundamental to connect the plant-pollinator metanetwork. Nonetheless, small solitary bees and the habitat specialist butterfly Polyommatus coridon also played a central role for the plant-pollinator networks in calcareous grasslands. By identifying the most central plants, pollinators and interactions at the metacommunity level, the information reported in this work can inform tailored management measures to protect them. Among others, I suggest considering plant species’ roles in the metanetwork when applying conservation measures, such as flower strips, and landscape coordination among farmers to increase crop diversification. Moreover, I showed the great potential of UAVs to contribute to such conservation measures and to biodiversity management in agricultural landscapes. UAVs can assist in diverse tasks such as quantifying encroachment of calcareous grasslands and plant diversity monitoring. Additionally, they can contribute to farmer´s cropland management and agri-environmental schemes surveillance by governmental agencies.","genre":"doctoralThesis","language":"eng","license":"http://creativecommons.org/licenses/by-nc-nd/4.0/","note":"Accepted: 2021-04-23T13:51:04Z\nISBN: 9781755888518\nDOI: 10.53846/goediss-8545","source":"ediss.uni-goettingen.de","title":"Plant-pollinator networks in fragmented calcareous grasslands","URL":"https://ediss.uni-goettingen.de/handle/21.11130/00-1735-0000-0008-5806-F","author":[{"family":"Librán-Embid","given":"Felipe"}],"accessed":{"date-parts":[["2025",8,30]]},"issued":{"date-parts":[["2021",4,23]]}}}],"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(Librán-Embid 2021)</w:t>
      </w:r>
      <w:r>
        <w:rPr>
          <w:rFonts w:ascii="Times New Roman" w:hAnsi="Times New Roman" w:cs="Times New Roman"/>
          <w:sz w:val="24"/>
          <w:szCs w:val="24"/>
        </w:rPr>
        <w:fldChar w:fldCharType="end"/>
      </w:r>
      <w:r>
        <w:rPr>
          <w:rFonts w:ascii="Times New Roman" w:hAnsi="Times New Roman" w:cs="Times New Roman"/>
          <w:sz w:val="24"/>
          <w:szCs w:val="24"/>
        </w:rPr>
        <w:t xml:space="preserve">. This limits both the number of individuals a fragment can sustain and the frequency of immigration events from surrounding patches </w:t>
      </w:r>
      <w:r>
        <w:fldChar w:fldCharType="begin"/>
      </w:r>
      <w:r>
        <w:rPr>
          <w:rFonts w:ascii="Times New Roman" w:hAnsi="Times New Roman" w:cs="Times New Roman"/>
          <w:sz w:val="24"/>
          <w:szCs w:val="24"/>
        </w:rPr>
        <w:instrText>ADDIN ZOTERO_ITEM CSL_CITATION {"citationID":"tgCNeB9o","properties":{"formattedCitation":"(WallisDeVries {\\i{}et al.} 2002)","plainCitation":"(WallisDeVries et al. 2002)","noteIndex":0},"citationItems":[{"id":4984,"uris":["http://zotero.org/users/11234172/items/ZZM72UNU"],"itemData":{"id":4984,"type":"article-journal","abstract":"The conservation of biological diversity requires an integrated approach covering the ecological demands of a multitude of species. Integration may be achieved by focusing on a careful selection of target species, which is rare in practice. Calcareous grasslands offer a case in point. Although they harbour a high diversity of both plant and insect species, in management the emphasis is placed on the flora. This results in an underestimation of, notably, the importance of structural heterogeneity in the vegetation. As an apparent consequence, conservation management in the Netherlands has been much more successful for the flora than for butterflies. In contrast, Germany shows promising efforts to integrate both plant and animal species in conservation management and landscape planning. The main constraints for a successfully integrated conservation management presently consist of a limited availability and exchange of information, and an insufficient organisation of research and management at an international level.","container-title":"Biological Conservation","DOI":"10.1016/S0006-3207(01)00191-4","ISSN":"0006-3207","issue":"3","journalAbbreviation":"Biological Conservation","page":"265-273","source":"ScienceDirect","title":"Challenges for the conservation of calcareous grasslands in northwestern Europe: integrating the requirements of flora and fauna","title-short":"Challenges for the conservation of calcareous grasslands in northwestern Europe","volume":"104","author":[{"family":"WallisDeVries","given":"Michiel F"},{"family":"Poschlod","given":"Peter"},{"family":"Willems","given":"Jo H"}],"issued":{"date-parts":[["2002",4,1]]}}}],"schema":"https://github.com/citation-style-language/schema/raw/master/csl-citation.json"}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(WallisDeVries </w:t>
      </w:r>
      <w:r>
        <w:rPr>
          <w:rFonts w:ascii="Times New Roman" w:hAnsi="Times New Roman" w:cs="Times New Roman"/>
          <w:i/>
          <w:iCs/>
          <w:sz w:val="24"/>
          <w:szCs w:val="24"/>
        </w:rPr>
        <w:t>et al.</w:t>
      </w:r>
      <w:r>
        <w:rPr>
          <w:rFonts w:ascii="Times New Roman" w:hAnsi="Times New Roman" w:cs="Times New Roman"/>
          <w:sz w:val="24"/>
          <w:szCs w:val="24"/>
        </w:rPr>
        <w:t xml:space="preserve"> 2002)</w:t>
      </w:r>
      <w:r>
        <w:rPr>
          <w:rFonts w:ascii="Times New Roman" w:hAnsi="Times New Roman" w:cs="Times New Roman"/>
          <w:sz w:val="24"/>
          <w:szCs w:val="24"/>
        </w:rPr>
        <w:fldChar w:fldCharType="end"/>
      </w:r>
      <w:r>
        <w:rPr>
          <w:rFonts w:ascii="Times New Roman" w:hAnsi="Times New Roman" w:cs="Times New Roman"/>
          <w:sz w:val="24"/>
          <w:szCs w:val="24"/>
        </w:rPr>
        <w:t xml:space="preserve">. Conversely, in the case of Estonia, grasslands were spread between the mainland (Pärnu region) and the Saaremaa island. Some wild bee distribution ranges are constrained by this fact, like </w:t>
      </w:r>
      <w:r>
        <w:rPr>
          <w:rFonts w:ascii="Times New Roman" w:hAnsi="Times New Roman" w:cs="Times New Roman"/>
          <w:i/>
          <w:sz w:val="24"/>
          <w:szCs w:val="24"/>
        </w:rPr>
        <w:t>Bombus confusus,</w:t>
      </w:r>
      <w:r>
        <w:t xml:space="preserve"> </w:t>
      </w:r>
      <w:r>
        <w:rPr>
          <w:rFonts w:ascii="Times New Roman" w:hAnsi="Times New Roman" w:cs="Times New Roman"/>
          <w:iCs/>
          <w:sz w:val="24"/>
          <w:szCs w:val="24"/>
        </w:rPr>
        <w:t>that has not been found from the island</w:t>
      </w:r>
      <w:r>
        <w:rPr>
          <w:rFonts w:ascii="Times New Roman" w:hAnsi="Times New Roman" w:cs="Times New Roman"/>
          <w:sz w:val="24"/>
          <w:szCs w:val="24"/>
        </w:rPr>
        <w:t xml:space="preserve"> (see </w:t>
      </w:r>
      <w:hyperlink r:id="rId50">
        <w:r>
          <w:rPr>
            <w:rStyle w:val="Hyperlink"/>
            <w:rFonts w:ascii="Times New Roman" w:hAnsi="Times New Roman" w:cs="Times New Roman"/>
            <w:sz w:val="24"/>
            <w:szCs w:val="24"/>
          </w:rPr>
          <w:t>https://elurikkus.ee/app/taxonomy/taxon/40349</w:t>
        </w:r>
      </w:hyperlink>
      <w:r>
        <w:rPr>
          <w:rFonts w:ascii="Times New Roman" w:hAnsi="Times New Roman" w:cs="Times New Roman"/>
          <w:sz w:val="24"/>
          <w:szCs w:val="24"/>
        </w:rPr>
        <w:t xml:space="preserve">). This had a direct impact on the construction of the meta-network and its structure. Nevertheless, overall meta-network topography parameters followed similar patterns in the three countries studied and </w:t>
      </w:r>
      <w:r>
        <w:rPr>
          <w:rFonts w:ascii="Times New Roman" w:hAnsi="Times New Roman" w:cs="Times New Roman"/>
          <w:sz w:val="24"/>
          <w:szCs w:val="24"/>
        </w:rPr>
        <w:lastRenderedPageBreak/>
        <w:t>correlation analysis showed mostly consistent results across countries, showing their potential to derive general findings across regions.</w:t>
      </w:r>
    </w:p>
    <w:p w14:paraId="354288B6" w14:textId="77777777" w:rsidR="00ED3D4B" w:rsidRDefault="00B1308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54838B1A" w14:textId="72670778"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 this study we used plant-wild bee meta-networks to </w:t>
      </w:r>
      <w:r w:rsidR="00404919">
        <w:rPr>
          <w:rFonts w:ascii="Times New Roman" w:hAnsi="Times New Roman" w:cs="Times New Roman"/>
          <w:sz w:val="24"/>
          <w:szCs w:val="24"/>
        </w:rPr>
        <w:t>investigate</w:t>
      </w:r>
      <w:r>
        <w:rPr>
          <w:rFonts w:ascii="Times New Roman" w:hAnsi="Times New Roman" w:cs="Times New Roman"/>
          <w:sz w:val="24"/>
          <w:szCs w:val="24"/>
        </w:rPr>
        <w:t xml:space="preserve"> the restoration of calcareous grasslands. We </w:t>
      </w:r>
      <w:r w:rsidR="00404919">
        <w:rPr>
          <w:rFonts w:ascii="Times New Roman" w:hAnsi="Times New Roman" w:cs="Times New Roman"/>
          <w:sz w:val="24"/>
          <w:szCs w:val="24"/>
        </w:rPr>
        <w:t xml:space="preserve">found </w:t>
      </w:r>
      <w:r>
        <w:rPr>
          <w:rFonts w:ascii="Times New Roman" w:hAnsi="Times New Roman" w:cs="Times New Roman"/>
          <w:sz w:val="24"/>
          <w:szCs w:val="24"/>
        </w:rPr>
        <w:t>that habitat quality (habitat</w:t>
      </w:r>
      <w:r w:rsidR="009317B0">
        <w:rPr>
          <w:rFonts w:ascii="Times New Roman" w:hAnsi="Times New Roman" w:cs="Times New Roman"/>
          <w:sz w:val="24"/>
          <w:szCs w:val="24"/>
        </w:rPr>
        <w:t>-</w:t>
      </w:r>
      <w:r>
        <w:rPr>
          <w:rFonts w:ascii="Times New Roman" w:hAnsi="Times New Roman" w:cs="Times New Roman"/>
          <w:sz w:val="24"/>
          <w:szCs w:val="24"/>
        </w:rPr>
        <w:t xml:space="preserve">specialist plant richness, alongside floral cover and richness) is fundamental to restore the diversity of interactions and support interaction complementarity. Additionally, landscape-scale AES can contribute to prevent the impairment of meta-network by supporting the redundancy of interactions across grasslands. Thus, both local habitat quality and a diversified biodiversity-friendly agricultural matrix will help to restore the cohesiveness of the plant-pollinator metacommunity. </w:t>
      </w:r>
      <w:r w:rsidR="000C6146" w:rsidRPr="000C6146">
        <w:rPr>
          <w:rFonts w:ascii="Times New Roman" w:hAnsi="Times New Roman" w:cs="Times New Roman"/>
          <w:sz w:val="24"/>
          <w:szCs w:val="24"/>
        </w:rPr>
        <w:t>The meta-network approach has shown great potential for improving restoration practices by accounting for higher levels of ecological complexity.</w:t>
      </w:r>
      <w:r w:rsidR="000C6146">
        <w:rPr>
          <w:rFonts w:ascii="Times New Roman" w:hAnsi="Times New Roman" w:cs="Times New Roman"/>
          <w:sz w:val="24"/>
          <w:szCs w:val="24"/>
        </w:rPr>
        <w:t xml:space="preserve"> F</w:t>
      </w:r>
      <w:r w:rsidR="000C6146" w:rsidRPr="000C6146">
        <w:rPr>
          <w:rFonts w:ascii="Times New Roman" w:hAnsi="Times New Roman" w:cs="Times New Roman"/>
          <w:sz w:val="24"/>
          <w:szCs w:val="24"/>
        </w:rPr>
        <w:t>urther methodological development is needed to address limitations related to species distribution characteristics and interaction patterns, in order to accelerate the restoration of calcareous grasslands.</w:t>
      </w:r>
    </w:p>
    <w:p w14:paraId="557C4E3E" w14:textId="7DF629AE" w:rsidR="00ED3D4B" w:rsidRDefault="00B1308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Acknowledgement</w:t>
      </w:r>
      <w:r w:rsidR="00840183">
        <w:rPr>
          <w:rFonts w:ascii="Times New Roman" w:hAnsi="Times New Roman" w:cs="Times New Roman"/>
          <w:b/>
          <w:bCs/>
          <w:sz w:val="24"/>
          <w:szCs w:val="24"/>
        </w:rPr>
        <w:t>s</w:t>
      </w:r>
      <w:r>
        <w:rPr>
          <w:rFonts w:ascii="Times New Roman" w:hAnsi="Times New Roman" w:cs="Times New Roman"/>
          <w:b/>
          <w:bCs/>
          <w:sz w:val="24"/>
          <w:szCs w:val="24"/>
        </w:rPr>
        <w:t xml:space="preserve">: </w:t>
      </w:r>
    </w:p>
    <w:p w14:paraId="1CD28CA6" w14:textId="4350544A" w:rsidR="00ED3D4B" w:rsidRDefault="00B13086">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We are grateful to the farmers and landowners for granting us permission to carry out our experiments on their land. We thank Peeter Tarlap, Jenny Förster and Reiner Theunert for their bee identification</w:t>
      </w:r>
      <w:r w:rsidR="00B217B8">
        <w:rPr>
          <w:rFonts w:ascii="Times New Roman" w:hAnsi="Times New Roman" w:cs="Times New Roman"/>
          <w:sz w:val="24"/>
          <w:szCs w:val="24"/>
        </w:rPr>
        <w:t xml:space="preserve">, </w:t>
      </w:r>
      <w:r>
        <w:rPr>
          <w:rFonts w:ascii="Times New Roman" w:hAnsi="Times New Roman" w:cs="Times New Roman"/>
          <w:sz w:val="24"/>
          <w:szCs w:val="24"/>
        </w:rPr>
        <w:t>Jordi Garcia-Pausas for plant identification in Spain</w:t>
      </w:r>
      <w:r w:rsidR="00B217B8">
        <w:rPr>
          <w:rFonts w:ascii="Times New Roman" w:hAnsi="Times New Roman" w:cs="Times New Roman"/>
          <w:sz w:val="24"/>
          <w:szCs w:val="24"/>
        </w:rPr>
        <w:t xml:space="preserve"> and Virginia Dominguez in her support </w:t>
      </w:r>
      <w:r w:rsidR="00B217B8" w:rsidRPr="00B217B8">
        <w:rPr>
          <w:rFonts w:ascii="Times New Roman" w:hAnsi="Times New Roman" w:cs="Times New Roman"/>
          <w:sz w:val="24"/>
          <w:szCs w:val="24"/>
        </w:rPr>
        <w:t>implementing</w:t>
      </w:r>
      <w:r w:rsidR="00B217B8">
        <w:rPr>
          <w:rFonts w:ascii="Times New Roman" w:hAnsi="Times New Roman" w:cs="Times New Roman"/>
          <w:sz w:val="24"/>
          <w:szCs w:val="24"/>
        </w:rPr>
        <w:t xml:space="preserve"> apparent influence metric</w:t>
      </w:r>
      <w:r>
        <w:rPr>
          <w:rFonts w:ascii="Times New Roman" w:hAnsi="Times New Roman" w:cs="Times New Roman"/>
          <w:sz w:val="24"/>
          <w:szCs w:val="24"/>
        </w:rPr>
        <w:t xml:space="preserve">. The code for the analyses of this work was developed with assistance from GitHub Copilot, an AI-powered code completion tool, in the R programming language. In addition, some paragraphs of this manuscript were revised for clarity using OpenAI GPT-4.1 offered by Lower Saxony KISSKI service. Final content and scientific interpretations are the authors' own responsibility. Flower cover and grassland icons were obtained </w:t>
      </w:r>
      <w:r>
        <w:rPr>
          <w:rFonts w:ascii="Times New Roman" w:hAnsi="Times New Roman" w:cs="Times New Roman"/>
          <w:sz w:val="24"/>
          <w:szCs w:val="24"/>
        </w:rPr>
        <w:lastRenderedPageBreak/>
        <w:t>from The noun project (</w:t>
      </w:r>
      <w:hyperlink r:id="rId51">
        <w:r>
          <w:rPr>
            <w:rStyle w:val="Hyperlink"/>
            <w:rFonts w:ascii="Times New Roman" w:hAnsi="Times New Roman" w:cs="Times New Roman"/>
            <w:sz w:val="24"/>
            <w:szCs w:val="24"/>
          </w:rPr>
          <w:t>https://thenounproject.com/</w:t>
        </w:r>
      </w:hyperlink>
      <w:r>
        <w:rPr>
          <w:rFonts w:ascii="Times New Roman" w:hAnsi="Times New Roman" w:cs="Times New Roman"/>
          <w:sz w:val="24"/>
          <w:szCs w:val="24"/>
        </w:rPr>
        <w:t>) and created by Lisole and Softscape respectively, species icons were obtained from Phylopic (</w:t>
      </w:r>
      <w:hyperlink r:id="rId52">
        <w:r>
          <w:rPr>
            <w:rStyle w:val="Hyperlink"/>
            <w:rFonts w:ascii="Times New Roman" w:hAnsi="Times New Roman" w:cs="Times New Roman"/>
            <w:sz w:val="24"/>
            <w:szCs w:val="24"/>
          </w:rPr>
          <w:t>https://www.phylopic.org/</w:t>
        </w:r>
      </w:hyperlink>
      <w:r>
        <w:rPr>
          <w:rFonts w:ascii="Times New Roman" w:hAnsi="Times New Roman" w:cs="Times New Roman"/>
          <w:sz w:val="24"/>
          <w:szCs w:val="24"/>
        </w:rPr>
        <w:t>). We thank the creators for share their work under Creative Commons Attributions. This  research was funded through the 2020-2021 Biodiversa+ and Water JPI joint call for research projects, under the BiodivRestore ERA-NET Cofund (GA N°101003777), with the EU and the funding organizations Deutsche Forschungsgemeinschaft (DFG, German Research Foundation) through  project  number 491739988, </w:t>
      </w:r>
      <w:r w:rsidR="00B217B8" w:rsidRPr="00B217B8">
        <w:t xml:space="preserve"> </w:t>
      </w:r>
      <w:r w:rsidR="00B217B8" w:rsidRPr="00B217B8">
        <w:rPr>
          <w:rFonts w:ascii="Times New Roman" w:hAnsi="Times New Roman" w:cs="Times New Roman"/>
          <w:sz w:val="24"/>
          <w:szCs w:val="24"/>
        </w:rPr>
        <w:t>Dutch Ministry of Agriculture, Fisheries, Food security and Nature</w:t>
      </w:r>
      <w:r w:rsidR="00B217B8">
        <w:rPr>
          <w:rFonts w:ascii="Times New Roman" w:hAnsi="Times New Roman" w:cs="Times New Roman"/>
          <w:sz w:val="24"/>
          <w:szCs w:val="24"/>
        </w:rPr>
        <w:t xml:space="preserve">, </w:t>
      </w:r>
      <w:r>
        <w:rPr>
          <w:rFonts w:ascii="Times New Roman" w:hAnsi="Times New Roman" w:cs="Times New Roman"/>
          <w:sz w:val="24"/>
          <w:szCs w:val="24"/>
        </w:rPr>
        <w:t xml:space="preserve">Estonian Research Council, the Spanish Ministry of Science, Innovation and Universities and the Spanish State Investigation Agency through the grant PCI2022-132974 and </w:t>
      </w:r>
      <w:r>
        <w:rPr>
          <w:rFonts w:ascii="Times New Roman" w:hAnsi="Times New Roman" w:cs="Times New Roman"/>
          <w:sz w:val="24"/>
          <w:szCs w:val="24"/>
          <w:lang w:val="en-GB"/>
        </w:rPr>
        <w:t>Belgian Science Policy (BelSPO) through research grant B2/22E/InterRest</w:t>
      </w:r>
      <w:r>
        <w:rPr>
          <w:rFonts w:ascii="Times New Roman" w:hAnsi="Times New Roman" w:cs="Times New Roman"/>
          <w:sz w:val="24"/>
          <w:szCs w:val="24"/>
        </w:rPr>
        <w:t>. TR and AH acknowledge support by Estonian Research Council (PRG874) and Estonian Ministry of Education and Research, Centre of Excellence for Sustainable Land Use (TK232).</w:t>
      </w:r>
      <w:r>
        <w:t xml:space="preserve"> </w:t>
      </w:r>
      <w:r>
        <w:rPr>
          <w:rFonts w:ascii="Times New Roman" w:hAnsi="Times New Roman" w:cs="Times New Roman"/>
          <w:sz w:val="24"/>
          <w:szCs w:val="24"/>
        </w:rPr>
        <w:t xml:space="preserve">TV acknowledges support by Estonian Research Council (PRG1789), Estonian Ministry of Education and Research, Centre of Excellence AgroCropFuture (TK200) and The European Union (SOILEX, 101207667). </w:t>
      </w:r>
      <w:r w:rsidR="00AB0DD2" w:rsidRPr="00AB0DD2">
        <w:rPr>
          <w:rFonts w:ascii="Times New Roman" w:hAnsi="Times New Roman" w:cs="Times New Roman"/>
          <w:sz w:val="24"/>
          <w:szCs w:val="24"/>
        </w:rPr>
        <w:t xml:space="preserve">C.W. </w:t>
      </w:r>
      <w:r w:rsidR="009A211F">
        <w:rPr>
          <w:rFonts w:ascii="Times New Roman" w:hAnsi="Times New Roman" w:cs="Times New Roman"/>
          <w:sz w:val="24"/>
          <w:szCs w:val="24"/>
        </w:rPr>
        <w:t>is grateful for funding</w:t>
      </w:r>
      <w:r w:rsidR="00AB0DD2" w:rsidRPr="00AB0DD2">
        <w:rPr>
          <w:rFonts w:ascii="Times New Roman" w:hAnsi="Times New Roman" w:cs="Times New Roman"/>
          <w:sz w:val="24"/>
          <w:szCs w:val="24"/>
        </w:rPr>
        <w:t xml:space="preserve"> by the Deutsche Forschungsgemeinschaft (German Research Foundation; DFG; Project number 493487387). </w:t>
      </w:r>
    </w:p>
    <w:p w14:paraId="7BBE7804" w14:textId="03E8704D" w:rsidR="00B217B8" w:rsidRDefault="00B217B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46A73E7" w14:textId="77777777" w:rsidR="00ED3D4B" w:rsidRPr="0005128A" w:rsidRDefault="00B13086">
      <w:pPr>
        <w:spacing w:line="480" w:lineRule="auto"/>
        <w:jc w:val="both"/>
        <w:rPr>
          <w:rFonts w:ascii="Times New Roman" w:hAnsi="Times New Roman" w:cs="Times New Roman"/>
          <w:b/>
          <w:bCs/>
          <w:sz w:val="24"/>
          <w:szCs w:val="24"/>
          <w:lang w:val="es-ES"/>
        </w:rPr>
      </w:pPr>
      <w:r w:rsidRPr="0005128A">
        <w:rPr>
          <w:rFonts w:ascii="Times New Roman" w:hAnsi="Times New Roman" w:cs="Times New Roman"/>
          <w:b/>
          <w:bCs/>
          <w:sz w:val="24"/>
          <w:szCs w:val="24"/>
          <w:lang w:val="es-ES"/>
        </w:rPr>
        <w:lastRenderedPageBreak/>
        <w:t xml:space="preserve">References: </w:t>
      </w:r>
    </w:p>
    <w:p w14:paraId="76945A28" w14:textId="77777777" w:rsidR="00B217B8" w:rsidRPr="00B217B8" w:rsidRDefault="00B13086" w:rsidP="00B217B8">
      <w:pPr>
        <w:pStyle w:val="Bibliography"/>
        <w:rPr>
          <w:rFonts w:ascii="Times New Roman" w:hAnsi="Times New Roman" w:cs="Times New Roman"/>
          <w:sz w:val="24"/>
          <w:szCs w:val="24"/>
          <w:lang w:val="es-ES"/>
        </w:rPr>
      </w:pPr>
      <w:r>
        <w:fldChar w:fldCharType="begin"/>
      </w:r>
      <w:r w:rsidR="00B217B8">
        <w:rPr>
          <w:lang w:val="pt-BR"/>
        </w:rPr>
        <w:instrText xml:space="preserve"> ADDIN ZOTERO_BIBL {"uncited":[],"omitted":[],"custom":[]} CSL_BIBLIOGRAPHY </w:instrText>
      </w:r>
      <w:r>
        <w:fldChar w:fldCharType="separate"/>
      </w:r>
      <w:r w:rsidR="00B217B8" w:rsidRPr="00B217B8">
        <w:rPr>
          <w:rFonts w:ascii="Times New Roman" w:hAnsi="Times New Roman" w:cs="Times New Roman"/>
          <w:sz w:val="24"/>
          <w:szCs w:val="24"/>
          <w:lang w:val="es-ES"/>
        </w:rPr>
        <w:t xml:space="preserve">AEMET. (2023). </w:t>
      </w:r>
      <w:r w:rsidR="00B217B8" w:rsidRPr="00B217B8">
        <w:rPr>
          <w:rFonts w:ascii="Times New Roman" w:hAnsi="Times New Roman" w:cs="Times New Roman"/>
          <w:i/>
          <w:iCs/>
          <w:sz w:val="24"/>
          <w:szCs w:val="24"/>
          <w:lang w:val="es-ES"/>
        </w:rPr>
        <w:t>Resumen anual climatológico 2023.</w:t>
      </w:r>
    </w:p>
    <w:p w14:paraId="3453995B" w14:textId="77777777" w:rsidR="00B217B8" w:rsidRPr="00B217B8" w:rsidRDefault="00B217B8" w:rsidP="00B217B8">
      <w:pPr>
        <w:pStyle w:val="Bibliography"/>
        <w:rPr>
          <w:rFonts w:ascii="Times New Roman" w:hAnsi="Times New Roman" w:cs="Times New Roman"/>
          <w:sz w:val="24"/>
          <w:szCs w:val="24"/>
          <w:lang w:val="es-ES"/>
        </w:rPr>
      </w:pPr>
      <w:r w:rsidRPr="00B217B8">
        <w:rPr>
          <w:rFonts w:ascii="Times New Roman" w:hAnsi="Times New Roman" w:cs="Times New Roman"/>
          <w:sz w:val="24"/>
          <w:szCs w:val="24"/>
          <w:lang w:val="es-ES"/>
        </w:rPr>
        <w:t xml:space="preserve">AEMET. (2024). </w:t>
      </w:r>
      <w:r w:rsidRPr="00B217B8">
        <w:rPr>
          <w:rFonts w:ascii="Times New Roman" w:hAnsi="Times New Roman" w:cs="Times New Roman"/>
          <w:i/>
          <w:iCs/>
          <w:sz w:val="24"/>
          <w:szCs w:val="24"/>
          <w:lang w:val="es-ES"/>
        </w:rPr>
        <w:t>Resumen anual climatológico 2024.</w:t>
      </w:r>
    </w:p>
    <w:p w14:paraId="062F1666" w14:textId="77777777" w:rsidR="00B217B8" w:rsidRDefault="00B217B8" w:rsidP="00B217B8">
      <w:pPr>
        <w:pStyle w:val="Bibliography"/>
        <w:rPr>
          <w:rFonts w:ascii="Times New Roman" w:hAnsi="Times New Roman" w:cs="Times New Roman"/>
          <w:sz w:val="24"/>
          <w:szCs w:val="24"/>
        </w:rPr>
      </w:pPr>
      <w:r w:rsidRPr="00B217B8">
        <w:rPr>
          <w:rFonts w:ascii="Times New Roman" w:hAnsi="Times New Roman" w:cs="Times New Roman"/>
          <w:sz w:val="24"/>
          <w:szCs w:val="24"/>
          <w:lang w:val="es-ES"/>
        </w:rPr>
        <w:t xml:space="preserve">Baselga, A., Orme, D., Villeger, S., De Bortoli, J., Leprieur, F., Logez, M., </w:t>
      </w:r>
      <w:r w:rsidRPr="00B217B8">
        <w:rPr>
          <w:rFonts w:ascii="Times New Roman" w:hAnsi="Times New Roman" w:cs="Times New Roman"/>
          <w:i/>
          <w:iCs/>
          <w:sz w:val="24"/>
          <w:szCs w:val="24"/>
          <w:lang w:val="es-ES"/>
        </w:rPr>
        <w:t>et al.</w:t>
      </w:r>
      <w:r w:rsidRPr="00B217B8">
        <w:rPr>
          <w:rFonts w:ascii="Times New Roman" w:hAnsi="Times New Roman" w:cs="Times New Roman"/>
          <w:sz w:val="24"/>
          <w:szCs w:val="24"/>
          <w:lang w:val="es-ES"/>
        </w:rPr>
        <w:t xml:space="preserve"> </w:t>
      </w:r>
      <w:r>
        <w:rPr>
          <w:rFonts w:ascii="Times New Roman" w:hAnsi="Times New Roman" w:cs="Times New Roman"/>
          <w:sz w:val="24"/>
          <w:szCs w:val="24"/>
        </w:rPr>
        <w:t>(2012). betapart: Partitioning Beta Diversity into Turnover and Nestedness Components.</w:t>
      </w:r>
    </w:p>
    <w:p w14:paraId="577AEE77"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Batáry, P., Dicks, L.V., Kleijn, D. &amp; Sutherland, W.J. (2015). The role of agri-environment schemes in conservation and environmental management. </w:t>
      </w:r>
      <w:r>
        <w:rPr>
          <w:rFonts w:ascii="Times New Roman" w:hAnsi="Times New Roman" w:cs="Times New Roman"/>
          <w:i/>
          <w:iCs/>
          <w:sz w:val="24"/>
          <w:szCs w:val="24"/>
        </w:rPr>
        <w:t>Conservation Biology</w:t>
      </w:r>
      <w:r>
        <w:rPr>
          <w:rFonts w:ascii="Times New Roman" w:hAnsi="Times New Roman" w:cs="Times New Roman"/>
          <w:sz w:val="24"/>
          <w:szCs w:val="24"/>
        </w:rPr>
        <w:t>, 29, 1006–1016.</w:t>
      </w:r>
    </w:p>
    <w:p w14:paraId="221B39E7"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Bauer, M. &amp; Albrecht, H. (2020). Vegetation monitoring in a 100-year-old calcareous grassland reserve in Germany. </w:t>
      </w:r>
      <w:r>
        <w:rPr>
          <w:rFonts w:ascii="Times New Roman" w:hAnsi="Times New Roman" w:cs="Times New Roman"/>
          <w:i/>
          <w:iCs/>
          <w:sz w:val="24"/>
          <w:szCs w:val="24"/>
        </w:rPr>
        <w:t>Basic and Applied Ecology</w:t>
      </w:r>
      <w:r>
        <w:rPr>
          <w:rFonts w:ascii="Times New Roman" w:hAnsi="Times New Roman" w:cs="Times New Roman"/>
          <w:sz w:val="24"/>
          <w:szCs w:val="24"/>
        </w:rPr>
        <w:t>, From Nature Conservation to Ecosystem Restoration, 42, 15–26.</w:t>
      </w:r>
    </w:p>
    <w:p w14:paraId="09891143"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Benjamini, Y. &amp; Hochberg, Y. (1995). Controlling the False Discovery Rate: A Practical and Powerful Approach to Multiple Testing. </w:t>
      </w:r>
      <w:r>
        <w:rPr>
          <w:rFonts w:ascii="Times New Roman" w:hAnsi="Times New Roman" w:cs="Times New Roman"/>
          <w:i/>
          <w:iCs/>
          <w:sz w:val="24"/>
          <w:szCs w:val="24"/>
        </w:rPr>
        <w:t>Journal of the Royal Statistical Society: Series B (Methodological)</w:t>
      </w:r>
      <w:r>
        <w:rPr>
          <w:rFonts w:ascii="Times New Roman" w:hAnsi="Times New Roman" w:cs="Times New Roman"/>
          <w:sz w:val="24"/>
          <w:szCs w:val="24"/>
        </w:rPr>
        <w:t>, 57, 289–300.</w:t>
      </w:r>
    </w:p>
    <w:p w14:paraId="6A67EF9C" w14:textId="77777777" w:rsidR="00B217B8" w:rsidRPr="00B217B8" w:rsidRDefault="00B217B8" w:rsidP="00B217B8">
      <w:pPr>
        <w:pStyle w:val="Bibliography"/>
        <w:rPr>
          <w:rFonts w:ascii="Times New Roman" w:hAnsi="Times New Roman" w:cs="Times New Roman"/>
          <w:sz w:val="24"/>
          <w:szCs w:val="24"/>
          <w:lang w:val="de-DE"/>
        </w:rPr>
      </w:pPr>
      <w:r>
        <w:rPr>
          <w:rFonts w:ascii="Times New Roman" w:hAnsi="Times New Roman" w:cs="Times New Roman"/>
          <w:sz w:val="24"/>
          <w:szCs w:val="24"/>
        </w:rPr>
        <w:t xml:space="preserve">Bhatia, U., Dubey, S., Gouhier, T.C. &amp; Ganguly, A.R. (2023). Network-based restoration strategies maximize ecosystem recovery. </w:t>
      </w:r>
      <w:r w:rsidRPr="00B217B8">
        <w:rPr>
          <w:rFonts w:ascii="Times New Roman" w:hAnsi="Times New Roman" w:cs="Times New Roman"/>
          <w:i/>
          <w:iCs/>
          <w:sz w:val="24"/>
          <w:szCs w:val="24"/>
          <w:lang w:val="de-DE"/>
        </w:rPr>
        <w:t>Commun Biol</w:t>
      </w:r>
      <w:r w:rsidRPr="00B217B8">
        <w:rPr>
          <w:rFonts w:ascii="Times New Roman" w:hAnsi="Times New Roman" w:cs="Times New Roman"/>
          <w:sz w:val="24"/>
          <w:szCs w:val="24"/>
          <w:lang w:val="de-DE"/>
        </w:rPr>
        <w:t>, 6, 1–10.</w:t>
      </w:r>
    </w:p>
    <w:p w14:paraId="30601D52" w14:textId="77777777" w:rsidR="00B217B8" w:rsidRDefault="00B217B8" w:rsidP="00B217B8">
      <w:pPr>
        <w:pStyle w:val="Bibliography"/>
        <w:rPr>
          <w:rFonts w:ascii="Times New Roman" w:hAnsi="Times New Roman" w:cs="Times New Roman"/>
          <w:sz w:val="24"/>
          <w:szCs w:val="24"/>
        </w:rPr>
      </w:pPr>
      <w:r w:rsidRPr="00B217B8">
        <w:rPr>
          <w:rFonts w:ascii="Times New Roman" w:hAnsi="Times New Roman" w:cs="Times New Roman"/>
          <w:sz w:val="24"/>
          <w:szCs w:val="24"/>
          <w:lang w:val="de-DE"/>
        </w:rPr>
        <w:t xml:space="preserve">Biegerl, C., Holzschuh, A., Tanner, B., Sponsler, D., Krauss, J., Zhang, J., </w:t>
      </w:r>
      <w:r w:rsidRPr="00B217B8">
        <w:rPr>
          <w:rFonts w:ascii="Times New Roman" w:hAnsi="Times New Roman" w:cs="Times New Roman"/>
          <w:i/>
          <w:iCs/>
          <w:sz w:val="24"/>
          <w:szCs w:val="24"/>
          <w:lang w:val="de-DE"/>
        </w:rPr>
        <w:t>et al.</w:t>
      </w:r>
      <w:r w:rsidRPr="00B217B8">
        <w:rPr>
          <w:rFonts w:ascii="Times New Roman" w:hAnsi="Times New Roman" w:cs="Times New Roman"/>
          <w:sz w:val="24"/>
          <w:szCs w:val="24"/>
          <w:lang w:val="de-DE"/>
        </w:rPr>
        <w:t xml:space="preserve"> </w:t>
      </w:r>
      <w:r>
        <w:rPr>
          <w:rFonts w:ascii="Times New Roman" w:hAnsi="Times New Roman" w:cs="Times New Roman"/>
          <w:sz w:val="24"/>
          <w:szCs w:val="24"/>
        </w:rPr>
        <w:t xml:space="preserve">(2025). Landscape management can foster pollinator richness in fragmented high-value habitats. </w:t>
      </w:r>
      <w:r>
        <w:rPr>
          <w:rFonts w:ascii="Times New Roman" w:hAnsi="Times New Roman" w:cs="Times New Roman"/>
          <w:i/>
          <w:iCs/>
          <w:sz w:val="24"/>
          <w:szCs w:val="24"/>
        </w:rPr>
        <w:t>Proceedings of the Royal Society B: Biological Sciences</w:t>
      </w:r>
      <w:r>
        <w:rPr>
          <w:rFonts w:ascii="Times New Roman" w:hAnsi="Times New Roman" w:cs="Times New Roman"/>
          <w:sz w:val="24"/>
          <w:szCs w:val="24"/>
        </w:rPr>
        <w:t>, 292, 20242686.</w:t>
      </w:r>
    </w:p>
    <w:p w14:paraId="7251B0F9"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Bonacich, P. (1987). Power and Centrality: A Family of Measures. </w:t>
      </w:r>
      <w:r>
        <w:rPr>
          <w:rFonts w:ascii="Times New Roman" w:hAnsi="Times New Roman" w:cs="Times New Roman"/>
          <w:i/>
          <w:iCs/>
          <w:sz w:val="24"/>
          <w:szCs w:val="24"/>
        </w:rPr>
        <w:t>American Journal of Sociology</w:t>
      </w:r>
      <w:r>
        <w:rPr>
          <w:rFonts w:ascii="Times New Roman" w:hAnsi="Times New Roman" w:cs="Times New Roman"/>
          <w:sz w:val="24"/>
          <w:szCs w:val="24"/>
        </w:rPr>
        <w:t>, 92, 1170–1182.</w:t>
      </w:r>
    </w:p>
    <w:p w14:paraId="42FF26A9"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Borges, R.C., Cunha, E.J., dos Santos Júnior, J.E., Silveira, O.T., de Oliveira Andrino, C., Caldeira Jr, C.F., </w:t>
      </w:r>
      <w:r>
        <w:rPr>
          <w:rFonts w:ascii="Times New Roman" w:hAnsi="Times New Roman" w:cs="Times New Roman"/>
          <w:i/>
          <w:iCs/>
          <w:sz w:val="24"/>
          <w:szCs w:val="24"/>
        </w:rPr>
        <w:t>et al.</w:t>
      </w:r>
      <w:r>
        <w:rPr>
          <w:rFonts w:ascii="Times New Roman" w:hAnsi="Times New Roman" w:cs="Times New Roman"/>
          <w:sz w:val="24"/>
          <w:szCs w:val="24"/>
        </w:rPr>
        <w:t xml:space="preserve"> (2025). Using plant–pollinator interactions to identify key species for planning tropical forest restoration. </w:t>
      </w:r>
      <w:r>
        <w:rPr>
          <w:rFonts w:ascii="Times New Roman" w:hAnsi="Times New Roman" w:cs="Times New Roman"/>
          <w:i/>
          <w:iCs/>
          <w:sz w:val="24"/>
          <w:szCs w:val="24"/>
        </w:rPr>
        <w:t>Restoration Ecology</w:t>
      </w:r>
      <w:r>
        <w:rPr>
          <w:rFonts w:ascii="Times New Roman" w:hAnsi="Times New Roman" w:cs="Times New Roman"/>
          <w:sz w:val="24"/>
          <w:szCs w:val="24"/>
        </w:rPr>
        <w:t>, 33, e14334.</w:t>
      </w:r>
    </w:p>
    <w:p w14:paraId="517AF1F1"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CaraDonna, P.J. &amp; Waser, N.M. (2020). Temporal flexibility in the structure of plant–pollinator interaction networks. </w:t>
      </w:r>
      <w:r>
        <w:rPr>
          <w:rFonts w:ascii="Times New Roman" w:hAnsi="Times New Roman" w:cs="Times New Roman"/>
          <w:i/>
          <w:iCs/>
          <w:sz w:val="24"/>
          <w:szCs w:val="24"/>
        </w:rPr>
        <w:t>Oikos</w:t>
      </w:r>
      <w:r>
        <w:rPr>
          <w:rFonts w:ascii="Times New Roman" w:hAnsi="Times New Roman" w:cs="Times New Roman"/>
          <w:sz w:val="24"/>
          <w:szCs w:val="24"/>
        </w:rPr>
        <w:t>, 129, 1369–1380.</w:t>
      </w:r>
    </w:p>
    <w:p w14:paraId="74A08E81"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Chazdon, R.L., Falk, D.A., Banin, L.F., Wagner, M., J. Wilson, S., Grabowski, R.C., </w:t>
      </w:r>
      <w:r>
        <w:rPr>
          <w:rFonts w:ascii="Times New Roman" w:hAnsi="Times New Roman" w:cs="Times New Roman"/>
          <w:i/>
          <w:iCs/>
          <w:sz w:val="24"/>
          <w:szCs w:val="24"/>
        </w:rPr>
        <w:t>et al.</w:t>
      </w:r>
      <w:r>
        <w:rPr>
          <w:rFonts w:ascii="Times New Roman" w:hAnsi="Times New Roman" w:cs="Times New Roman"/>
          <w:sz w:val="24"/>
          <w:szCs w:val="24"/>
        </w:rPr>
        <w:t xml:space="preserve"> (2024). The intervention continuum in restoration ecology: rethinking the active–passive dichotomy. </w:t>
      </w:r>
      <w:r>
        <w:rPr>
          <w:rFonts w:ascii="Times New Roman" w:hAnsi="Times New Roman" w:cs="Times New Roman"/>
          <w:i/>
          <w:iCs/>
          <w:sz w:val="24"/>
          <w:szCs w:val="24"/>
        </w:rPr>
        <w:t>Restoration Ecology</w:t>
      </w:r>
      <w:r>
        <w:rPr>
          <w:rFonts w:ascii="Times New Roman" w:hAnsi="Times New Roman" w:cs="Times New Roman"/>
          <w:sz w:val="24"/>
          <w:szCs w:val="24"/>
        </w:rPr>
        <w:t>, 32, e13535.</w:t>
      </w:r>
    </w:p>
    <w:p w14:paraId="4E87D08A"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Csárdi, G., Nepusz, T., Müller, K., Horvát, S., Traag, V., Zanini, F., </w:t>
      </w:r>
      <w:r>
        <w:rPr>
          <w:rFonts w:ascii="Times New Roman" w:hAnsi="Times New Roman" w:cs="Times New Roman"/>
          <w:i/>
          <w:iCs/>
          <w:sz w:val="24"/>
          <w:szCs w:val="24"/>
        </w:rPr>
        <w:t>et al.</w:t>
      </w:r>
      <w:r>
        <w:rPr>
          <w:rFonts w:ascii="Times New Roman" w:hAnsi="Times New Roman" w:cs="Times New Roman"/>
          <w:sz w:val="24"/>
          <w:szCs w:val="24"/>
        </w:rPr>
        <w:t xml:space="preserve"> (2025). igraph for R: R interface of the igraph library for graph theory and network analysis.</w:t>
      </w:r>
    </w:p>
    <w:p w14:paraId="4B582AB4"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Czechofsky, K., Westphal, C., Paxton, R.J. &amp; Hass, A.L. (2025). Landscape-level synergistic and antagonistic effects among conservation measures drive wild bee densities and species richness. </w:t>
      </w:r>
      <w:r>
        <w:rPr>
          <w:rFonts w:ascii="Times New Roman" w:hAnsi="Times New Roman" w:cs="Times New Roman"/>
          <w:i/>
          <w:iCs/>
          <w:sz w:val="24"/>
          <w:szCs w:val="24"/>
        </w:rPr>
        <w:t>Journal of Applied Ecology</w:t>
      </w:r>
      <w:r>
        <w:rPr>
          <w:rFonts w:ascii="Times New Roman" w:hAnsi="Times New Roman" w:cs="Times New Roman"/>
          <w:sz w:val="24"/>
          <w:szCs w:val="24"/>
        </w:rPr>
        <w:t>, 62, 1706–1717.</w:t>
      </w:r>
    </w:p>
    <w:p w14:paraId="106B1CCD"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Dehling, D.M., Bender, I.M.A., Blendinger, P.G., Böhning-Gaese, K., Muñoz, M.C., Neuschulz, E.L., </w:t>
      </w:r>
      <w:r>
        <w:rPr>
          <w:rFonts w:ascii="Times New Roman" w:hAnsi="Times New Roman" w:cs="Times New Roman"/>
          <w:i/>
          <w:iCs/>
          <w:sz w:val="24"/>
          <w:szCs w:val="24"/>
        </w:rPr>
        <w:t>et al.</w:t>
      </w:r>
      <w:r>
        <w:rPr>
          <w:rFonts w:ascii="Times New Roman" w:hAnsi="Times New Roman" w:cs="Times New Roman"/>
          <w:sz w:val="24"/>
          <w:szCs w:val="24"/>
        </w:rPr>
        <w:t xml:space="preserve"> (2021). Specialists and generalists fulfil important and complementary functional roles in ecological processes. </w:t>
      </w:r>
      <w:r>
        <w:rPr>
          <w:rFonts w:ascii="Times New Roman" w:hAnsi="Times New Roman" w:cs="Times New Roman"/>
          <w:i/>
          <w:iCs/>
          <w:sz w:val="24"/>
          <w:szCs w:val="24"/>
        </w:rPr>
        <w:t>Functional Ecology</w:t>
      </w:r>
      <w:r>
        <w:rPr>
          <w:rFonts w:ascii="Times New Roman" w:hAnsi="Times New Roman" w:cs="Times New Roman"/>
          <w:sz w:val="24"/>
          <w:szCs w:val="24"/>
        </w:rPr>
        <w:t>, 35, 1810–1821.</w:t>
      </w:r>
    </w:p>
    <w:p w14:paraId="783C9D0A"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Delmas, E., Besson, M., Brice, M.-H., Burkle, L.A., Dalla Riva, G.V., Fortin, M.-J., </w:t>
      </w:r>
      <w:r>
        <w:rPr>
          <w:rFonts w:ascii="Times New Roman" w:hAnsi="Times New Roman" w:cs="Times New Roman"/>
          <w:i/>
          <w:iCs/>
          <w:sz w:val="24"/>
          <w:szCs w:val="24"/>
        </w:rPr>
        <w:t>et al.</w:t>
      </w:r>
      <w:r>
        <w:rPr>
          <w:rFonts w:ascii="Times New Roman" w:hAnsi="Times New Roman" w:cs="Times New Roman"/>
          <w:sz w:val="24"/>
          <w:szCs w:val="24"/>
        </w:rPr>
        <w:t xml:space="preserve"> (2019). Analysing ecological networks of species interactions. </w:t>
      </w:r>
      <w:r>
        <w:rPr>
          <w:rFonts w:ascii="Times New Roman" w:hAnsi="Times New Roman" w:cs="Times New Roman"/>
          <w:i/>
          <w:iCs/>
          <w:sz w:val="24"/>
          <w:szCs w:val="24"/>
        </w:rPr>
        <w:t>Biological Reviews</w:t>
      </w:r>
      <w:r>
        <w:rPr>
          <w:rFonts w:ascii="Times New Roman" w:hAnsi="Times New Roman" w:cs="Times New Roman"/>
          <w:sz w:val="24"/>
          <w:szCs w:val="24"/>
        </w:rPr>
        <w:t>, 94, 16–36.</w:t>
      </w:r>
    </w:p>
    <w:p w14:paraId="48618E28"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Diekmann, M., Jandt, U., Alard, D., Bleeker, A., Corcket, E., Gowing, D.J.G., </w:t>
      </w:r>
      <w:r>
        <w:rPr>
          <w:rFonts w:ascii="Times New Roman" w:hAnsi="Times New Roman" w:cs="Times New Roman"/>
          <w:i/>
          <w:iCs/>
          <w:sz w:val="24"/>
          <w:szCs w:val="24"/>
        </w:rPr>
        <w:t>et al.</w:t>
      </w:r>
      <w:r>
        <w:rPr>
          <w:rFonts w:ascii="Times New Roman" w:hAnsi="Times New Roman" w:cs="Times New Roman"/>
          <w:sz w:val="24"/>
          <w:szCs w:val="24"/>
        </w:rPr>
        <w:t xml:space="preserve"> (2014). Long-term changes in calcareous grassland vegetation in North-western Germany – No decline in species richness, but a shift in species composition. </w:t>
      </w:r>
      <w:r>
        <w:rPr>
          <w:rFonts w:ascii="Times New Roman" w:hAnsi="Times New Roman" w:cs="Times New Roman"/>
          <w:i/>
          <w:iCs/>
          <w:sz w:val="24"/>
          <w:szCs w:val="24"/>
        </w:rPr>
        <w:t>Biological Conservation</w:t>
      </w:r>
      <w:r>
        <w:rPr>
          <w:rFonts w:ascii="Times New Roman" w:hAnsi="Times New Roman" w:cs="Times New Roman"/>
          <w:sz w:val="24"/>
          <w:szCs w:val="24"/>
        </w:rPr>
        <w:t>, 172, 170–179.</w:t>
      </w:r>
    </w:p>
    <w:p w14:paraId="61976261"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Dormann, C.F., Gruber, B. &amp; Fründ, J. (2008). Introducing the bipartite package: Analysing ecological networks. </w:t>
      </w:r>
      <w:r>
        <w:rPr>
          <w:rFonts w:ascii="Times New Roman" w:hAnsi="Times New Roman" w:cs="Times New Roman"/>
          <w:i/>
          <w:iCs/>
          <w:sz w:val="24"/>
          <w:szCs w:val="24"/>
        </w:rPr>
        <w:t>R News</w:t>
      </w:r>
      <w:r>
        <w:rPr>
          <w:rFonts w:ascii="Times New Roman" w:hAnsi="Times New Roman" w:cs="Times New Roman"/>
          <w:sz w:val="24"/>
          <w:szCs w:val="24"/>
        </w:rPr>
        <w:t>, 8, 8–11.</w:t>
      </w:r>
    </w:p>
    <w:p w14:paraId="07A618E1"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Emer, C., Galetti, M., Pizo, M.A., Guimarães Jr., P.R., Moraes, S., Piratelli, A., </w:t>
      </w:r>
      <w:r>
        <w:rPr>
          <w:rFonts w:ascii="Times New Roman" w:hAnsi="Times New Roman" w:cs="Times New Roman"/>
          <w:i/>
          <w:iCs/>
          <w:sz w:val="24"/>
          <w:szCs w:val="24"/>
        </w:rPr>
        <w:t>et al.</w:t>
      </w:r>
      <w:r>
        <w:rPr>
          <w:rFonts w:ascii="Times New Roman" w:hAnsi="Times New Roman" w:cs="Times New Roman"/>
          <w:sz w:val="24"/>
          <w:szCs w:val="24"/>
        </w:rPr>
        <w:t xml:space="preserve"> (2018). Seed-dispersal interactions in fragmented landscapes – a metanetwork approach. </w:t>
      </w:r>
      <w:r>
        <w:rPr>
          <w:rFonts w:ascii="Times New Roman" w:hAnsi="Times New Roman" w:cs="Times New Roman"/>
          <w:i/>
          <w:iCs/>
          <w:sz w:val="24"/>
          <w:szCs w:val="24"/>
        </w:rPr>
        <w:t>Ecology Letters</w:t>
      </w:r>
      <w:r>
        <w:rPr>
          <w:rFonts w:ascii="Times New Roman" w:hAnsi="Times New Roman" w:cs="Times New Roman"/>
          <w:sz w:val="24"/>
          <w:szCs w:val="24"/>
        </w:rPr>
        <w:t>, 21, 484–493.</w:t>
      </w:r>
    </w:p>
    <w:p w14:paraId="0A1529F6"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European Parlament. (2024). </w:t>
      </w:r>
      <w:r>
        <w:rPr>
          <w:rFonts w:ascii="Times New Roman" w:hAnsi="Times New Roman" w:cs="Times New Roman"/>
          <w:i/>
          <w:iCs/>
          <w:sz w:val="24"/>
          <w:szCs w:val="24"/>
        </w:rPr>
        <w:t>Regulation (EU) 2024/1991 of the European Parliament and of the Council of 24 June 2024 on nature restoration and amending Regulation (EU) 2022/869 (Text with EEA relevance)</w:t>
      </w:r>
      <w:r>
        <w:rPr>
          <w:rFonts w:ascii="Times New Roman" w:hAnsi="Times New Roman" w:cs="Times New Roman"/>
          <w:sz w:val="24"/>
          <w:szCs w:val="24"/>
        </w:rPr>
        <w:t>.</w:t>
      </w:r>
    </w:p>
    <w:p w14:paraId="68F77B03"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Fantinato, E., Sonkoly, J., Török, P. &amp; Buffa, G. (2021). Patterns of pollination interactions at the community level are related to the type and quantity of floral resources. </w:t>
      </w:r>
      <w:r>
        <w:rPr>
          <w:rFonts w:ascii="Times New Roman" w:hAnsi="Times New Roman" w:cs="Times New Roman"/>
          <w:i/>
          <w:iCs/>
          <w:sz w:val="24"/>
          <w:szCs w:val="24"/>
        </w:rPr>
        <w:t>Functional Ecology</w:t>
      </w:r>
      <w:r>
        <w:rPr>
          <w:rFonts w:ascii="Times New Roman" w:hAnsi="Times New Roman" w:cs="Times New Roman"/>
          <w:sz w:val="24"/>
          <w:szCs w:val="24"/>
        </w:rPr>
        <w:t>, 35, 2461–2471.</w:t>
      </w:r>
    </w:p>
    <w:p w14:paraId="79370837"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Fijen, T.P.M., Bishop, G.A., Ganuza, C., Scheper, J. &amp; Kleijn, D. (2025). Analyzing the relative importance of habitat quantity and quality for boosting pollinator populations in agricultural landscapes. </w:t>
      </w:r>
      <w:r>
        <w:rPr>
          <w:rFonts w:ascii="Times New Roman" w:hAnsi="Times New Roman" w:cs="Times New Roman"/>
          <w:i/>
          <w:iCs/>
          <w:sz w:val="24"/>
          <w:szCs w:val="24"/>
        </w:rPr>
        <w:t>Conservation Biology</w:t>
      </w:r>
      <w:r>
        <w:rPr>
          <w:rFonts w:ascii="Times New Roman" w:hAnsi="Times New Roman" w:cs="Times New Roman"/>
          <w:sz w:val="24"/>
          <w:szCs w:val="24"/>
        </w:rPr>
        <w:t>, 39, e14317.</w:t>
      </w:r>
    </w:p>
    <w:p w14:paraId="4F4315EC"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Freeman, L.C. (1978). Centrality in social networks conceptual clarification. </w:t>
      </w:r>
      <w:r>
        <w:rPr>
          <w:rFonts w:ascii="Times New Roman" w:hAnsi="Times New Roman" w:cs="Times New Roman"/>
          <w:i/>
          <w:iCs/>
          <w:sz w:val="24"/>
          <w:szCs w:val="24"/>
        </w:rPr>
        <w:t>Social Networks</w:t>
      </w:r>
      <w:r>
        <w:rPr>
          <w:rFonts w:ascii="Times New Roman" w:hAnsi="Times New Roman" w:cs="Times New Roman"/>
          <w:sz w:val="24"/>
          <w:szCs w:val="24"/>
        </w:rPr>
        <w:t>, 1, 215–239.</w:t>
      </w:r>
    </w:p>
    <w:p w14:paraId="5BACE6F5"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Gámez-Virués, S., Perović, D.J., Gossner, M.M., Börschig, C., Blüthgen, N., de Jong, H., </w:t>
      </w:r>
      <w:r>
        <w:rPr>
          <w:rFonts w:ascii="Times New Roman" w:hAnsi="Times New Roman" w:cs="Times New Roman"/>
          <w:i/>
          <w:iCs/>
          <w:sz w:val="24"/>
          <w:szCs w:val="24"/>
        </w:rPr>
        <w:t>et al.</w:t>
      </w:r>
      <w:r>
        <w:rPr>
          <w:rFonts w:ascii="Times New Roman" w:hAnsi="Times New Roman" w:cs="Times New Roman"/>
          <w:sz w:val="24"/>
          <w:szCs w:val="24"/>
        </w:rPr>
        <w:t xml:space="preserve"> (2015). Landscape simplification filters species traits and drives biotic homogenization. </w:t>
      </w:r>
      <w:r>
        <w:rPr>
          <w:rFonts w:ascii="Times New Roman" w:hAnsi="Times New Roman" w:cs="Times New Roman"/>
          <w:i/>
          <w:iCs/>
          <w:sz w:val="24"/>
          <w:szCs w:val="24"/>
        </w:rPr>
        <w:t>Nat Commun</w:t>
      </w:r>
      <w:r>
        <w:rPr>
          <w:rFonts w:ascii="Times New Roman" w:hAnsi="Times New Roman" w:cs="Times New Roman"/>
          <w:sz w:val="24"/>
          <w:szCs w:val="24"/>
        </w:rPr>
        <w:t>, 6, 8568.</w:t>
      </w:r>
    </w:p>
    <w:p w14:paraId="1325383F" w14:textId="77777777" w:rsidR="00B217B8" w:rsidRDefault="00B217B8" w:rsidP="00B217B8">
      <w:pPr>
        <w:pStyle w:val="Bibliography"/>
        <w:rPr>
          <w:rFonts w:ascii="Times New Roman" w:hAnsi="Times New Roman" w:cs="Times New Roman"/>
          <w:sz w:val="24"/>
          <w:szCs w:val="24"/>
        </w:rPr>
      </w:pPr>
      <w:r w:rsidRPr="00B217B8">
        <w:rPr>
          <w:rFonts w:ascii="Times New Roman" w:hAnsi="Times New Roman" w:cs="Times New Roman"/>
          <w:sz w:val="24"/>
          <w:szCs w:val="24"/>
          <w:lang w:val="de-DE"/>
        </w:rPr>
        <w:t xml:space="preserve">Geppert, C., Hass, A., Földesi, R., Donkó, B., Akter, A., Tscharntke, T., </w:t>
      </w:r>
      <w:r w:rsidRPr="00B217B8">
        <w:rPr>
          <w:rFonts w:ascii="Times New Roman" w:hAnsi="Times New Roman" w:cs="Times New Roman"/>
          <w:i/>
          <w:iCs/>
          <w:sz w:val="24"/>
          <w:szCs w:val="24"/>
          <w:lang w:val="de-DE"/>
        </w:rPr>
        <w:t>et al.</w:t>
      </w:r>
      <w:r w:rsidRPr="00B217B8">
        <w:rPr>
          <w:rFonts w:ascii="Times New Roman" w:hAnsi="Times New Roman" w:cs="Times New Roman"/>
          <w:sz w:val="24"/>
          <w:szCs w:val="24"/>
          <w:lang w:val="de-DE"/>
        </w:rPr>
        <w:t xml:space="preserve"> </w:t>
      </w:r>
      <w:r>
        <w:rPr>
          <w:rFonts w:ascii="Times New Roman" w:hAnsi="Times New Roman" w:cs="Times New Roman"/>
          <w:sz w:val="24"/>
          <w:szCs w:val="24"/>
        </w:rPr>
        <w:t xml:space="preserve">(2020). Agri-environment schemes enhance pollinator richness and abundance but bumblebee reproduction depends on field size. </w:t>
      </w:r>
      <w:r>
        <w:rPr>
          <w:rFonts w:ascii="Times New Roman" w:hAnsi="Times New Roman" w:cs="Times New Roman"/>
          <w:i/>
          <w:iCs/>
          <w:sz w:val="24"/>
          <w:szCs w:val="24"/>
        </w:rPr>
        <w:t>Journal of Applied Ecology</w:t>
      </w:r>
      <w:r>
        <w:rPr>
          <w:rFonts w:ascii="Times New Roman" w:hAnsi="Times New Roman" w:cs="Times New Roman"/>
          <w:sz w:val="24"/>
          <w:szCs w:val="24"/>
        </w:rPr>
        <w:t>, 57, 1818–1828.</w:t>
      </w:r>
    </w:p>
    <w:p w14:paraId="15EB8A4D" w14:textId="77777777" w:rsidR="00B217B8" w:rsidRPr="00B217B8" w:rsidRDefault="00B217B8" w:rsidP="00B217B8">
      <w:pPr>
        <w:pStyle w:val="Bibliography"/>
        <w:rPr>
          <w:rFonts w:ascii="Times New Roman" w:hAnsi="Times New Roman" w:cs="Times New Roman"/>
          <w:sz w:val="24"/>
          <w:szCs w:val="24"/>
          <w:lang w:val="de-DE"/>
        </w:rPr>
      </w:pPr>
      <w:r>
        <w:rPr>
          <w:rFonts w:ascii="Times New Roman" w:hAnsi="Times New Roman" w:cs="Times New Roman"/>
          <w:sz w:val="24"/>
          <w:szCs w:val="24"/>
        </w:rPr>
        <w:t xml:space="preserve">Gorris, P., Bodin, Ö., Giralt, D., Hass, A.L., Reitalu, T., Cabodevilla, X., </w:t>
      </w:r>
      <w:r>
        <w:rPr>
          <w:rFonts w:ascii="Times New Roman" w:hAnsi="Times New Roman" w:cs="Times New Roman"/>
          <w:i/>
          <w:iCs/>
          <w:sz w:val="24"/>
          <w:szCs w:val="24"/>
        </w:rPr>
        <w:t>et al.</w:t>
      </w:r>
      <w:r>
        <w:rPr>
          <w:rFonts w:ascii="Times New Roman" w:hAnsi="Times New Roman" w:cs="Times New Roman"/>
          <w:sz w:val="24"/>
          <w:szCs w:val="24"/>
        </w:rPr>
        <w:t xml:space="preserve"> (2025). Social-ecological perspective on European semi-natural grassland conservation and restoration: Key challenges and future pathways. </w:t>
      </w:r>
      <w:r w:rsidRPr="00B217B8">
        <w:rPr>
          <w:rFonts w:ascii="Times New Roman" w:hAnsi="Times New Roman" w:cs="Times New Roman"/>
          <w:i/>
          <w:iCs/>
          <w:sz w:val="24"/>
          <w:szCs w:val="24"/>
          <w:lang w:val="de-DE"/>
        </w:rPr>
        <w:t>Biological Conservation</w:t>
      </w:r>
      <w:r w:rsidRPr="00B217B8">
        <w:rPr>
          <w:rFonts w:ascii="Times New Roman" w:hAnsi="Times New Roman" w:cs="Times New Roman"/>
          <w:sz w:val="24"/>
          <w:szCs w:val="24"/>
          <w:lang w:val="de-DE"/>
        </w:rPr>
        <w:t>, 304, 111038.</w:t>
      </w:r>
    </w:p>
    <w:p w14:paraId="08257568" w14:textId="77777777" w:rsidR="00B217B8" w:rsidRDefault="00B217B8" w:rsidP="00B217B8">
      <w:pPr>
        <w:pStyle w:val="Bibliography"/>
        <w:rPr>
          <w:rFonts w:ascii="Times New Roman" w:hAnsi="Times New Roman" w:cs="Times New Roman"/>
          <w:sz w:val="24"/>
          <w:szCs w:val="24"/>
        </w:rPr>
      </w:pPr>
      <w:r w:rsidRPr="00B217B8">
        <w:rPr>
          <w:rFonts w:ascii="Times New Roman" w:hAnsi="Times New Roman" w:cs="Times New Roman"/>
          <w:sz w:val="24"/>
          <w:szCs w:val="24"/>
          <w:lang w:val="de-DE"/>
        </w:rPr>
        <w:t xml:space="preserve">Habel, J.C., Dengler, J., Janišová, M., Török, P., Wellstein, C. &amp; Wiezik, M. (2013). </w:t>
      </w:r>
      <w:r>
        <w:rPr>
          <w:rFonts w:ascii="Times New Roman" w:hAnsi="Times New Roman" w:cs="Times New Roman"/>
          <w:sz w:val="24"/>
          <w:szCs w:val="24"/>
        </w:rPr>
        <w:t xml:space="preserve">European grassland ecosystems: threatened hotspots of biodiversity. </w:t>
      </w:r>
      <w:r>
        <w:rPr>
          <w:rFonts w:ascii="Times New Roman" w:hAnsi="Times New Roman" w:cs="Times New Roman"/>
          <w:i/>
          <w:iCs/>
          <w:sz w:val="24"/>
          <w:szCs w:val="24"/>
        </w:rPr>
        <w:t>Biodivers Conserv</w:t>
      </w:r>
      <w:r>
        <w:rPr>
          <w:rFonts w:ascii="Times New Roman" w:hAnsi="Times New Roman" w:cs="Times New Roman"/>
          <w:sz w:val="24"/>
          <w:szCs w:val="24"/>
        </w:rPr>
        <w:t>, 22, 2131–2138.</w:t>
      </w:r>
    </w:p>
    <w:p w14:paraId="2015CA8F"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Hardy, O.J. (2008). Testing the spatial phylogenetic structure of local communities: statistical performances of different null models and test statistics on a locally neutral community. </w:t>
      </w:r>
      <w:r>
        <w:rPr>
          <w:rFonts w:ascii="Times New Roman" w:hAnsi="Times New Roman" w:cs="Times New Roman"/>
          <w:i/>
          <w:iCs/>
          <w:sz w:val="24"/>
          <w:szCs w:val="24"/>
        </w:rPr>
        <w:t>Journal of Ecology</w:t>
      </w:r>
      <w:r>
        <w:rPr>
          <w:rFonts w:ascii="Times New Roman" w:hAnsi="Times New Roman" w:cs="Times New Roman"/>
          <w:sz w:val="24"/>
          <w:szCs w:val="24"/>
        </w:rPr>
        <w:t>, 96, 914–926.</w:t>
      </w:r>
    </w:p>
    <w:p w14:paraId="7F089721"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Hartig, F. (2024). DHARMa: residual diagnostics for hierarchical (multi-level/mixed) regression models.</w:t>
      </w:r>
    </w:p>
    <w:p w14:paraId="079ABC43" w14:textId="77777777" w:rsidR="00B217B8" w:rsidRDefault="00B217B8" w:rsidP="00B217B8">
      <w:pPr>
        <w:pStyle w:val="Bibliography"/>
        <w:rPr>
          <w:rFonts w:ascii="Times New Roman" w:hAnsi="Times New Roman" w:cs="Times New Roman"/>
          <w:sz w:val="24"/>
          <w:szCs w:val="24"/>
        </w:rPr>
      </w:pPr>
      <w:r w:rsidRPr="00B217B8">
        <w:rPr>
          <w:rFonts w:ascii="Times New Roman" w:hAnsi="Times New Roman" w:cs="Times New Roman"/>
          <w:sz w:val="24"/>
          <w:szCs w:val="24"/>
          <w:lang w:val="de-DE"/>
        </w:rPr>
        <w:t xml:space="preserve">Harzé, M., Monty, A., Boisson, S., Pitz, C., Hermann, J.-M., Kollmann, J., </w:t>
      </w:r>
      <w:r w:rsidRPr="00B217B8">
        <w:rPr>
          <w:rFonts w:ascii="Times New Roman" w:hAnsi="Times New Roman" w:cs="Times New Roman"/>
          <w:i/>
          <w:iCs/>
          <w:sz w:val="24"/>
          <w:szCs w:val="24"/>
          <w:lang w:val="de-DE"/>
        </w:rPr>
        <w:t>et al.</w:t>
      </w:r>
      <w:r w:rsidRPr="00B217B8">
        <w:rPr>
          <w:rFonts w:ascii="Times New Roman" w:hAnsi="Times New Roman" w:cs="Times New Roman"/>
          <w:sz w:val="24"/>
          <w:szCs w:val="24"/>
          <w:lang w:val="de-DE"/>
        </w:rPr>
        <w:t xml:space="preserve"> </w:t>
      </w:r>
      <w:r>
        <w:rPr>
          <w:rFonts w:ascii="Times New Roman" w:hAnsi="Times New Roman" w:cs="Times New Roman"/>
          <w:sz w:val="24"/>
          <w:szCs w:val="24"/>
        </w:rPr>
        <w:t xml:space="preserve">(2018). Towards a population approach for evaluating grassland restoration—a systematic review. </w:t>
      </w:r>
      <w:r>
        <w:rPr>
          <w:rFonts w:ascii="Times New Roman" w:hAnsi="Times New Roman" w:cs="Times New Roman"/>
          <w:i/>
          <w:iCs/>
          <w:sz w:val="24"/>
          <w:szCs w:val="24"/>
        </w:rPr>
        <w:t>Restoration Ecology</w:t>
      </w:r>
      <w:r>
        <w:rPr>
          <w:rFonts w:ascii="Times New Roman" w:hAnsi="Times New Roman" w:cs="Times New Roman"/>
          <w:sz w:val="24"/>
          <w:szCs w:val="24"/>
        </w:rPr>
        <w:t>, 26, 227–234.</w:t>
      </w:r>
    </w:p>
    <w:p w14:paraId="5634FFC6"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Heinen, J.H., Rahbek, C. &amp; Borregaard, M.K. (2020). Conservation of species interactions to achieve self-sustaining ecosystems. </w:t>
      </w:r>
      <w:r>
        <w:rPr>
          <w:rFonts w:ascii="Times New Roman" w:hAnsi="Times New Roman" w:cs="Times New Roman"/>
          <w:i/>
          <w:iCs/>
          <w:sz w:val="24"/>
          <w:szCs w:val="24"/>
        </w:rPr>
        <w:t>Ecography</w:t>
      </w:r>
      <w:r>
        <w:rPr>
          <w:rFonts w:ascii="Times New Roman" w:hAnsi="Times New Roman" w:cs="Times New Roman"/>
          <w:sz w:val="24"/>
          <w:szCs w:val="24"/>
        </w:rPr>
        <w:t>, 43, 1603–1611.</w:t>
      </w:r>
    </w:p>
    <w:p w14:paraId="4A4539ED"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Holl, K.D., Luong, J.C. &amp; Brancalion, P.H.S. (2022). Overcoming biotic homogenization in ecological restoration. </w:t>
      </w:r>
      <w:r>
        <w:rPr>
          <w:rFonts w:ascii="Times New Roman" w:hAnsi="Times New Roman" w:cs="Times New Roman"/>
          <w:i/>
          <w:iCs/>
          <w:sz w:val="24"/>
          <w:szCs w:val="24"/>
        </w:rPr>
        <w:t>Trends in Ecology &amp; Evolution</w:t>
      </w:r>
      <w:r>
        <w:rPr>
          <w:rFonts w:ascii="Times New Roman" w:hAnsi="Times New Roman" w:cs="Times New Roman"/>
          <w:sz w:val="24"/>
          <w:szCs w:val="24"/>
        </w:rPr>
        <w:t>, 37, 777–788.</w:t>
      </w:r>
    </w:p>
    <w:p w14:paraId="5CCC219F"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Hurtado, P., Aragón, G., Vicente, M., Dalsgaard, B., Krasnov, B.R. &amp; Calatayud, J. (2024). Generalism in species interactions is more the consequence than the cause of ecological success. </w:t>
      </w:r>
      <w:r>
        <w:rPr>
          <w:rFonts w:ascii="Times New Roman" w:hAnsi="Times New Roman" w:cs="Times New Roman"/>
          <w:i/>
          <w:iCs/>
          <w:sz w:val="24"/>
          <w:szCs w:val="24"/>
        </w:rPr>
        <w:t>Nat Ecol Evol</w:t>
      </w:r>
      <w:r>
        <w:rPr>
          <w:rFonts w:ascii="Times New Roman" w:hAnsi="Times New Roman" w:cs="Times New Roman"/>
          <w:sz w:val="24"/>
          <w:szCs w:val="24"/>
        </w:rPr>
        <w:t>, 8, 1602–1611.</w:t>
      </w:r>
    </w:p>
    <w:p w14:paraId="1E32B984"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Ibáñez, I., Katz, D.S.W., Peltier, D., Wolf, S.M. &amp; Connor Barrie, B.T. (2014). Assessing the integrated effects of landscape fragmentation on plants and plant communities: the challenge of multiprocess–multiresponse dynamics. </w:t>
      </w:r>
      <w:r>
        <w:rPr>
          <w:rFonts w:ascii="Times New Roman" w:hAnsi="Times New Roman" w:cs="Times New Roman"/>
          <w:i/>
          <w:iCs/>
          <w:sz w:val="24"/>
          <w:szCs w:val="24"/>
        </w:rPr>
        <w:t>Journal of Ecology</w:t>
      </w:r>
      <w:r>
        <w:rPr>
          <w:rFonts w:ascii="Times New Roman" w:hAnsi="Times New Roman" w:cs="Times New Roman"/>
          <w:sz w:val="24"/>
          <w:szCs w:val="24"/>
        </w:rPr>
        <w:t>, 102, 882–895.</w:t>
      </w:r>
    </w:p>
    <w:p w14:paraId="1B03ADE2"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Kaiser-Bunbury, C.N., Mougal, J., Whittington, A.E., Valentin, T., Gabriel, R., Olesen, J.M., </w:t>
      </w:r>
      <w:r>
        <w:rPr>
          <w:rFonts w:ascii="Times New Roman" w:hAnsi="Times New Roman" w:cs="Times New Roman"/>
          <w:i/>
          <w:iCs/>
          <w:sz w:val="24"/>
          <w:szCs w:val="24"/>
        </w:rPr>
        <w:t>et al.</w:t>
      </w:r>
      <w:r>
        <w:rPr>
          <w:rFonts w:ascii="Times New Roman" w:hAnsi="Times New Roman" w:cs="Times New Roman"/>
          <w:sz w:val="24"/>
          <w:szCs w:val="24"/>
        </w:rPr>
        <w:t xml:space="preserve"> (2017). Ecosystem restoration strengthens pollination network resilience and function. </w:t>
      </w:r>
      <w:r>
        <w:rPr>
          <w:rFonts w:ascii="Times New Roman" w:hAnsi="Times New Roman" w:cs="Times New Roman"/>
          <w:i/>
          <w:iCs/>
          <w:sz w:val="24"/>
          <w:szCs w:val="24"/>
        </w:rPr>
        <w:t>Nature</w:t>
      </w:r>
      <w:r>
        <w:rPr>
          <w:rFonts w:ascii="Times New Roman" w:hAnsi="Times New Roman" w:cs="Times New Roman"/>
          <w:sz w:val="24"/>
          <w:szCs w:val="24"/>
        </w:rPr>
        <w:t>, 542, 223–227.</w:t>
      </w:r>
    </w:p>
    <w:p w14:paraId="77328207"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Kasari, L., Gazol, A., Kalwij, J.M. &amp; Helm, A. (2013). Low shrub cover in alvar grasslands increases small-scale diversity by promoting the occurrence of generalist species. </w:t>
      </w:r>
      <w:r>
        <w:rPr>
          <w:rFonts w:ascii="Times New Roman" w:hAnsi="Times New Roman" w:cs="Times New Roman"/>
          <w:i/>
          <w:iCs/>
          <w:sz w:val="24"/>
          <w:szCs w:val="24"/>
        </w:rPr>
        <w:t>Tuexenia</w:t>
      </w:r>
      <w:r>
        <w:rPr>
          <w:rFonts w:ascii="Times New Roman" w:hAnsi="Times New Roman" w:cs="Times New Roman"/>
          <w:sz w:val="24"/>
          <w:szCs w:val="24"/>
        </w:rPr>
        <w:t>, 33, 293–308.</w:t>
      </w:r>
    </w:p>
    <w:p w14:paraId="67B338F5"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Kirsch, F., Hass, A., Alfert, T. &amp; Westphal, C. (2025). Landscape diversity, habitat connectivity, age and size determine the conservation value of limestone quarries for diverse wild bee communities. </w:t>
      </w:r>
      <w:r>
        <w:rPr>
          <w:rFonts w:ascii="Times New Roman" w:hAnsi="Times New Roman" w:cs="Times New Roman"/>
          <w:i/>
          <w:iCs/>
          <w:sz w:val="24"/>
          <w:szCs w:val="24"/>
        </w:rPr>
        <w:t>Journal of Applied Ecology</w:t>
      </w:r>
      <w:r>
        <w:rPr>
          <w:rFonts w:ascii="Times New Roman" w:hAnsi="Times New Roman" w:cs="Times New Roman"/>
          <w:sz w:val="24"/>
          <w:szCs w:val="24"/>
        </w:rPr>
        <w:t>, 62, 64–79.</w:t>
      </w:r>
    </w:p>
    <w:p w14:paraId="619CF6ED"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Kleijn, D., Bommarco, R., Fijen, T.P.M., Garibaldi, L.A., Potts, S.G. &amp; van der Putten, W.H. (2019). Ecological Intensification: Bridging the Gap between Science and Practice. </w:t>
      </w:r>
      <w:r>
        <w:rPr>
          <w:rFonts w:ascii="Times New Roman" w:hAnsi="Times New Roman" w:cs="Times New Roman"/>
          <w:i/>
          <w:iCs/>
          <w:sz w:val="24"/>
          <w:szCs w:val="24"/>
        </w:rPr>
        <w:t>Trends in Ecology &amp; Evolution</w:t>
      </w:r>
      <w:r>
        <w:rPr>
          <w:rFonts w:ascii="Times New Roman" w:hAnsi="Times New Roman" w:cs="Times New Roman"/>
          <w:sz w:val="24"/>
          <w:szCs w:val="24"/>
        </w:rPr>
        <w:t>, 34, 154–166.</w:t>
      </w:r>
    </w:p>
    <w:p w14:paraId="5DB9DFD3"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Kormann, U., Rösch, V., Batáry, P., Tscharntke, T., Orci, K.M., Samu, F., </w:t>
      </w:r>
      <w:r>
        <w:rPr>
          <w:rFonts w:ascii="Times New Roman" w:hAnsi="Times New Roman" w:cs="Times New Roman"/>
          <w:i/>
          <w:iCs/>
          <w:sz w:val="24"/>
          <w:szCs w:val="24"/>
        </w:rPr>
        <w:t>et al.</w:t>
      </w:r>
      <w:r>
        <w:rPr>
          <w:rFonts w:ascii="Times New Roman" w:hAnsi="Times New Roman" w:cs="Times New Roman"/>
          <w:sz w:val="24"/>
          <w:szCs w:val="24"/>
        </w:rPr>
        <w:t xml:space="preserve"> (2015). Local and landscape management drive trait-mediated biodiversity of nine taxa on small grassland fragments. </w:t>
      </w:r>
      <w:r>
        <w:rPr>
          <w:rFonts w:ascii="Times New Roman" w:hAnsi="Times New Roman" w:cs="Times New Roman"/>
          <w:i/>
          <w:iCs/>
          <w:sz w:val="24"/>
          <w:szCs w:val="24"/>
        </w:rPr>
        <w:t>Diversity and Distributions</w:t>
      </w:r>
      <w:r>
        <w:rPr>
          <w:rFonts w:ascii="Times New Roman" w:hAnsi="Times New Roman" w:cs="Times New Roman"/>
          <w:sz w:val="24"/>
          <w:szCs w:val="24"/>
        </w:rPr>
        <w:t>, 21, 1204–1217.</w:t>
      </w:r>
    </w:p>
    <w:p w14:paraId="3ECC99EA"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Leibold, M.A., Chase, J.M. &amp; Ernest, S.K.M. (2017). Community assembly and the functioning of ecosystems: how metacommunity processes alter ecosystems attributes. </w:t>
      </w:r>
      <w:r>
        <w:rPr>
          <w:rFonts w:ascii="Times New Roman" w:hAnsi="Times New Roman" w:cs="Times New Roman"/>
          <w:i/>
          <w:iCs/>
          <w:sz w:val="24"/>
          <w:szCs w:val="24"/>
        </w:rPr>
        <w:t>Ecology</w:t>
      </w:r>
      <w:r>
        <w:rPr>
          <w:rFonts w:ascii="Times New Roman" w:hAnsi="Times New Roman" w:cs="Times New Roman"/>
          <w:sz w:val="24"/>
          <w:szCs w:val="24"/>
        </w:rPr>
        <w:t>, 98, 909–919.</w:t>
      </w:r>
    </w:p>
    <w:p w14:paraId="4A396DF0"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Leibold, M.A., Holyoak, M., Mouquet, N., Amarasekare, P., Chase, J.M., Hoopes, M.F., </w:t>
      </w:r>
      <w:r>
        <w:rPr>
          <w:rFonts w:ascii="Times New Roman" w:hAnsi="Times New Roman" w:cs="Times New Roman"/>
          <w:i/>
          <w:iCs/>
          <w:sz w:val="24"/>
          <w:szCs w:val="24"/>
        </w:rPr>
        <w:t>et al.</w:t>
      </w:r>
      <w:r>
        <w:rPr>
          <w:rFonts w:ascii="Times New Roman" w:hAnsi="Times New Roman" w:cs="Times New Roman"/>
          <w:sz w:val="24"/>
          <w:szCs w:val="24"/>
        </w:rPr>
        <w:t xml:space="preserve"> (2004). The metacommunity concept: a framework for multi-scale community ecology. </w:t>
      </w:r>
      <w:r>
        <w:rPr>
          <w:rFonts w:ascii="Times New Roman" w:hAnsi="Times New Roman" w:cs="Times New Roman"/>
          <w:i/>
          <w:iCs/>
          <w:sz w:val="24"/>
          <w:szCs w:val="24"/>
        </w:rPr>
        <w:t>Ecology Letters</w:t>
      </w:r>
      <w:r>
        <w:rPr>
          <w:rFonts w:ascii="Times New Roman" w:hAnsi="Times New Roman" w:cs="Times New Roman"/>
          <w:sz w:val="24"/>
          <w:szCs w:val="24"/>
        </w:rPr>
        <w:t>, 7, 601–613.</w:t>
      </w:r>
    </w:p>
    <w:p w14:paraId="183B786A"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Librán-Embid, F. (2021). Plant-pollinator networks in fragmented calcareous grasslands. doctoralThesis. .</w:t>
      </w:r>
    </w:p>
    <w:p w14:paraId="3C874763"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Librán-Embid, F., Grass, I., Emer, C., Ganuza, C. &amp; Tscharntke, T. (2021). A plant–pollinator metanetwork along a habitat fragmentation gradient. </w:t>
      </w:r>
      <w:r>
        <w:rPr>
          <w:rFonts w:ascii="Times New Roman" w:hAnsi="Times New Roman" w:cs="Times New Roman"/>
          <w:i/>
          <w:iCs/>
          <w:sz w:val="24"/>
          <w:szCs w:val="24"/>
        </w:rPr>
        <w:t>Ecology Letters</w:t>
      </w:r>
      <w:r>
        <w:rPr>
          <w:rFonts w:ascii="Times New Roman" w:hAnsi="Times New Roman" w:cs="Times New Roman"/>
          <w:sz w:val="24"/>
          <w:szCs w:val="24"/>
        </w:rPr>
        <w:t>, 24, 2700–2712.</w:t>
      </w:r>
    </w:p>
    <w:p w14:paraId="2CCA6261"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Loos, J., Krauss, J., Lyons, A., Föst, S., Ohlendorf, C., Racky, S., </w:t>
      </w:r>
      <w:r>
        <w:rPr>
          <w:rFonts w:ascii="Times New Roman" w:hAnsi="Times New Roman" w:cs="Times New Roman"/>
          <w:i/>
          <w:iCs/>
          <w:sz w:val="24"/>
          <w:szCs w:val="24"/>
        </w:rPr>
        <w:t>et al.</w:t>
      </w:r>
      <w:r>
        <w:rPr>
          <w:rFonts w:ascii="Times New Roman" w:hAnsi="Times New Roman" w:cs="Times New Roman"/>
          <w:sz w:val="24"/>
          <w:szCs w:val="24"/>
        </w:rPr>
        <w:t xml:space="preserve"> (2021). Local and landscape responses of biodiversity in calcareous grasslands. </w:t>
      </w:r>
      <w:r>
        <w:rPr>
          <w:rFonts w:ascii="Times New Roman" w:hAnsi="Times New Roman" w:cs="Times New Roman"/>
          <w:i/>
          <w:iCs/>
          <w:sz w:val="24"/>
          <w:szCs w:val="24"/>
        </w:rPr>
        <w:t>Biodivers Conserv</w:t>
      </w:r>
      <w:r>
        <w:rPr>
          <w:rFonts w:ascii="Times New Roman" w:hAnsi="Times New Roman" w:cs="Times New Roman"/>
          <w:sz w:val="24"/>
          <w:szCs w:val="24"/>
        </w:rPr>
        <w:t>, 30, 2415–2432.</w:t>
      </w:r>
    </w:p>
    <w:p w14:paraId="6B2CECAA" w14:textId="77777777" w:rsidR="00B217B8" w:rsidRDefault="00B217B8" w:rsidP="00B217B8">
      <w:pPr>
        <w:pStyle w:val="Bibliography"/>
        <w:rPr>
          <w:rFonts w:ascii="Times New Roman" w:hAnsi="Times New Roman" w:cs="Times New Roman"/>
          <w:sz w:val="24"/>
          <w:szCs w:val="24"/>
        </w:rPr>
      </w:pPr>
      <w:r w:rsidRPr="00B217B8">
        <w:rPr>
          <w:rFonts w:ascii="Times New Roman" w:hAnsi="Times New Roman" w:cs="Times New Roman"/>
          <w:sz w:val="24"/>
          <w:szCs w:val="24"/>
          <w:lang w:val="es-ES"/>
        </w:rPr>
        <w:t xml:space="preserve">Loreau, M., Barbier, M., Filotas, E., Gravel, D., Isbell, F., Miller, S.J., </w:t>
      </w:r>
      <w:r w:rsidRPr="00B217B8">
        <w:rPr>
          <w:rFonts w:ascii="Times New Roman" w:hAnsi="Times New Roman" w:cs="Times New Roman"/>
          <w:i/>
          <w:iCs/>
          <w:sz w:val="24"/>
          <w:szCs w:val="24"/>
          <w:lang w:val="es-ES"/>
        </w:rPr>
        <w:t>et al.</w:t>
      </w:r>
      <w:r w:rsidRPr="00B217B8">
        <w:rPr>
          <w:rFonts w:ascii="Times New Roman" w:hAnsi="Times New Roman" w:cs="Times New Roman"/>
          <w:sz w:val="24"/>
          <w:szCs w:val="24"/>
          <w:lang w:val="es-ES"/>
        </w:rPr>
        <w:t xml:space="preserve"> </w:t>
      </w:r>
      <w:r>
        <w:rPr>
          <w:rFonts w:ascii="Times New Roman" w:hAnsi="Times New Roman" w:cs="Times New Roman"/>
          <w:sz w:val="24"/>
          <w:szCs w:val="24"/>
        </w:rPr>
        <w:t xml:space="preserve">(2021). Biodiversity as insurance: from concept to measurement and application. </w:t>
      </w:r>
      <w:r>
        <w:rPr>
          <w:rFonts w:ascii="Times New Roman" w:hAnsi="Times New Roman" w:cs="Times New Roman"/>
          <w:i/>
          <w:iCs/>
          <w:sz w:val="24"/>
          <w:szCs w:val="24"/>
        </w:rPr>
        <w:t>Biological Reviews</w:t>
      </w:r>
      <w:r>
        <w:rPr>
          <w:rFonts w:ascii="Times New Roman" w:hAnsi="Times New Roman" w:cs="Times New Roman"/>
          <w:sz w:val="24"/>
          <w:szCs w:val="24"/>
        </w:rPr>
        <w:t>, 96, 2333–2354.</w:t>
      </w:r>
    </w:p>
    <w:p w14:paraId="35803643"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Lüdecke, D., Ben-Shachar, M., Patil, I., Waggoner, P. &amp; Makowski, D. (2021). performance: An R Package for Assessment, Comparison and Testing of Statistical Models. </w:t>
      </w:r>
      <w:r>
        <w:rPr>
          <w:rFonts w:ascii="Times New Roman" w:hAnsi="Times New Roman" w:cs="Times New Roman"/>
          <w:i/>
          <w:iCs/>
          <w:sz w:val="24"/>
          <w:szCs w:val="24"/>
        </w:rPr>
        <w:t>JOSS</w:t>
      </w:r>
      <w:r>
        <w:rPr>
          <w:rFonts w:ascii="Times New Roman" w:hAnsi="Times New Roman" w:cs="Times New Roman"/>
          <w:sz w:val="24"/>
          <w:szCs w:val="24"/>
        </w:rPr>
        <w:t>, 6, 3139.</w:t>
      </w:r>
    </w:p>
    <w:p w14:paraId="12AE6F9A"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Mantel, N. (1967). The detection of disease clustering and a generalized regression approach. </w:t>
      </w:r>
      <w:r>
        <w:rPr>
          <w:rFonts w:ascii="Times New Roman" w:hAnsi="Times New Roman" w:cs="Times New Roman"/>
          <w:i/>
          <w:iCs/>
          <w:sz w:val="24"/>
          <w:szCs w:val="24"/>
        </w:rPr>
        <w:t>Cancer Res</w:t>
      </w:r>
      <w:r>
        <w:rPr>
          <w:rFonts w:ascii="Times New Roman" w:hAnsi="Times New Roman" w:cs="Times New Roman"/>
          <w:sz w:val="24"/>
          <w:szCs w:val="24"/>
        </w:rPr>
        <w:t>, 27, 209–220.</w:t>
      </w:r>
    </w:p>
    <w:p w14:paraId="48FC1075"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Marini, L., Bartomeus, I., Rader, R. &amp; Lami, F. (2019). Species–habitat networks: A tool to improve landscape management for conservation. </w:t>
      </w:r>
      <w:r>
        <w:rPr>
          <w:rFonts w:ascii="Times New Roman" w:hAnsi="Times New Roman" w:cs="Times New Roman"/>
          <w:i/>
          <w:iCs/>
          <w:sz w:val="24"/>
          <w:szCs w:val="24"/>
        </w:rPr>
        <w:t>Journal of Applied Ecology</w:t>
      </w:r>
      <w:r>
        <w:rPr>
          <w:rFonts w:ascii="Times New Roman" w:hAnsi="Times New Roman" w:cs="Times New Roman"/>
          <w:sz w:val="24"/>
          <w:szCs w:val="24"/>
        </w:rPr>
        <w:t>, 56, 923–928.</w:t>
      </w:r>
    </w:p>
    <w:p w14:paraId="0910241C" w14:textId="77777777" w:rsidR="00B217B8" w:rsidRPr="00B217B8" w:rsidRDefault="00B217B8" w:rsidP="00B217B8">
      <w:pPr>
        <w:pStyle w:val="Bibliography"/>
        <w:rPr>
          <w:rFonts w:ascii="Times New Roman" w:hAnsi="Times New Roman" w:cs="Times New Roman"/>
          <w:sz w:val="24"/>
          <w:szCs w:val="24"/>
          <w:lang w:val="de-DE"/>
        </w:rPr>
      </w:pPr>
      <w:r>
        <w:rPr>
          <w:rFonts w:ascii="Times New Roman" w:hAnsi="Times New Roman" w:cs="Times New Roman"/>
          <w:sz w:val="24"/>
          <w:szCs w:val="24"/>
        </w:rPr>
        <w:t xml:space="preserve">McGillycuddy, M., Warton, D.I., Popovic, G. &amp; Bolker, B.M. (2025). Parsimoniously Fitting Large Multivariate Random Effects in </w:t>
      </w:r>
      <w:r>
        <w:rPr>
          <w:rFonts w:ascii="Times New Roman" w:hAnsi="Times New Roman" w:cs="Times New Roman"/>
          <w:b/>
          <w:bCs/>
          <w:sz w:val="24"/>
          <w:szCs w:val="24"/>
        </w:rPr>
        <w:t>glmmTMB</w:t>
      </w:r>
      <w:r>
        <w:rPr>
          <w:rFonts w:ascii="Times New Roman" w:hAnsi="Times New Roman" w:cs="Times New Roman"/>
          <w:sz w:val="24"/>
          <w:szCs w:val="24"/>
        </w:rPr>
        <w:t xml:space="preserve">. </w:t>
      </w:r>
      <w:r>
        <w:rPr>
          <w:rFonts w:ascii="Times New Roman" w:hAnsi="Times New Roman" w:cs="Times New Roman"/>
          <w:i/>
          <w:iCs/>
          <w:sz w:val="24"/>
          <w:szCs w:val="24"/>
        </w:rPr>
        <w:t xml:space="preserve">J. Stat. </w:t>
      </w:r>
      <w:r w:rsidRPr="00B217B8">
        <w:rPr>
          <w:rFonts w:ascii="Times New Roman" w:hAnsi="Times New Roman" w:cs="Times New Roman"/>
          <w:i/>
          <w:iCs/>
          <w:sz w:val="24"/>
          <w:szCs w:val="24"/>
          <w:lang w:val="de-DE"/>
        </w:rPr>
        <w:t>Soft.</w:t>
      </w:r>
      <w:r w:rsidRPr="00B217B8">
        <w:rPr>
          <w:rFonts w:ascii="Times New Roman" w:hAnsi="Times New Roman" w:cs="Times New Roman"/>
          <w:sz w:val="24"/>
          <w:szCs w:val="24"/>
          <w:lang w:val="de-DE"/>
        </w:rPr>
        <w:t>, 112.</w:t>
      </w:r>
    </w:p>
    <w:p w14:paraId="4B460436" w14:textId="77777777" w:rsidR="00B217B8" w:rsidRDefault="00B217B8" w:rsidP="00B217B8">
      <w:pPr>
        <w:pStyle w:val="Bibliography"/>
        <w:rPr>
          <w:rFonts w:ascii="Times New Roman" w:hAnsi="Times New Roman" w:cs="Times New Roman"/>
          <w:sz w:val="24"/>
          <w:szCs w:val="24"/>
        </w:rPr>
      </w:pPr>
      <w:r w:rsidRPr="00B217B8">
        <w:rPr>
          <w:rFonts w:ascii="Times New Roman" w:hAnsi="Times New Roman" w:cs="Times New Roman"/>
          <w:sz w:val="24"/>
          <w:szCs w:val="24"/>
          <w:lang w:val="de-DE"/>
        </w:rPr>
        <w:t xml:space="preserve">Michez, D., Rasmont, P., Terzo, M. &amp; Vereecken, N.J. (2019). </w:t>
      </w:r>
      <w:r>
        <w:rPr>
          <w:rFonts w:ascii="Times New Roman" w:hAnsi="Times New Roman" w:cs="Times New Roman"/>
          <w:i/>
          <w:iCs/>
          <w:sz w:val="24"/>
          <w:szCs w:val="24"/>
        </w:rPr>
        <w:t>Bees of Europe – Hymenoptera of Europe 1</w:t>
      </w:r>
      <w:r>
        <w:rPr>
          <w:rFonts w:ascii="Times New Roman" w:hAnsi="Times New Roman" w:cs="Times New Roman"/>
          <w:sz w:val="24"/>
          <w:szCs w:val="24"/>
        </w:rPr>
        <w:t>. N.A.P.</w:t>
      </w:r>
    </w:p>
    <w:p w14:paraId="581C74BE"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Montoya, D. (2021). Challenges and directions toward a general theory of ecological recovery dynamics: A metacommunity perspective. </w:t>
      </w:r>
      <w:r>
        <w:rPr>
          <w:rFonts w:ascii="Times New Roman" w:hAnsi="Times New Roman" w:cs="Times New Roman"/>
          <w:i/>
          <w:iCs/>
          <w:sz w:val="24"/>
          <w:szCs w:val="24"/>
        </w:rPr>
        <w:t>One Earth</w:t>
      </w:r>
      <w:r>
        <w:rPr>
          <w:rFonts w:ascii="Times New Roman" w:hAnsi="Times New Roman" w:cs="Times New Roman"/>
          <w:sz w:val="24"/>
          <w:szCs w:val="24"/>
        </w:rPr>
        <w:t>, 4, 1083–1094.</w:t>
      </w:r>
    </w:p>
    <w:p w14:paraId="56B770CB" w14:textId="77777777" w:rsidR="00B217B8" w:rsidRPr="00B217B8" w:rsidRDefault="00B217B8" w:rsidP="00B217B8">
      <w:pPr>
        <w:pStyle w:val="Bibliography"/>
        <w:rPr>
          <w:rFonts w:ascii="Times New Roman" w:hAnsi="Times New Roman" w:cs="Times New Roman"/>
          <w:sz w:val="24"/>
          <w:szCs w:val="24"/>
          <w:lang w:val="es-ES"/>
        </w:rPr>
      </w:pPr>
      <w:r>
        <w:rPr>
          <w:rFonts w:ascii="Times New Roman" w:hAnsi="Times New Roman" w:cs="Times New Roman"/>
          <w:sz w:val="24"/>
          <w:szCs w:val="24"/>
        </w:rPr>
        <w:t xml:space="preserve">Moracho, E., Normand, S. &amp; Ordonez, A. (2025). Rebuilding ecological networks: A multi-scale approach to global restoration. </w:t>
      </w:r>
      <w:r w:rsidRPr="00B217B8">
        <w:rPr>
          <w:rFonts w:ascii="Times New Roman" w:hAnsi="Times New Roman" w:cs="Times New Roman"/>
          <w:i/>
          <w:iCs/>
          <w:sz w:val="24"/>
          <w:szCs w:val="24"/>
          <w:lang w:val="es-ES"/>
        </w:rPr>
        <w:t>Biological Conservation</w:t>
      </w:r>
      <w:r w:rsidRPr="00B217B8">
        <w:rPr>
          <w:rFonts w:ascii="Times New Roman" w:hAnsi="Times New Roman" w:cs="Times New Roman"/>
          <w:sz w:val="24"/>
          <w:szCs w:val="24"/>
          <w:lang w:val="es-ES"/>
        </w:rPr>
        <w:t>, 312, 111477.</w:t>
      </w:r>
    </w:p>
    <w:p w14:paraId="566EF86E" w14:textId="77777777" w:rsidR="00B217B8" w:rsidRDefault="00B217B8" w:rsidP="00B217B8">
      <w:pPr>
        <w:pStyle w:val="Bibliography"/>
        <w:rPr>
          <w:rFonts w:ascii="Times New Roman" w:hAnsi="Times New Roman" w:cs="Times New Roman"/>
          <w:sz w:val="24"/>
          <w:szCs w:val="24"/>
        </w:rPr>
      </w:pPr>
      <w:r w:rsidRPr="00B217B8">
        <w:rPr>
          <w:rFonts w:ascii="Times New Roman" w:hAnsi="Times New Roman" w:cs="Times New Roman"/>
          <w:sz w:val="24"/>
          <w:szCs w:val="24"/>
          <w:lang w:val="es-ES"/>
        </w:rPr>
        <w:t xml:space="preserve">Moreno-Mateos, D., Alberdi, A., Morriën, E., van der Putten, W.H., Rodríguez-Uña, A. &amp; Montoya, D. (2020). </w:t>
      </w:r>
      <w:r>
        <w:rPr>
          <w:rFonts w:ascii="Times New Roman" w:hAnsi="Times New Roman" w:cs="Times New Roman"/>
          <w:sz w:val="24"/>
          <w:szCs w:val="24"/>
        </w:rPr>
        <w:t xml:space="preserve">The long-term restoration of ecosystem complexity. </w:t>
      </w:r>
      <w:r>
        <w:rPr>
          <w:rFonts w:ascii="Times New Roman" w:hAnsi="Times New Roman" w:cs="Times New Roman"/>
          <w:i/>
          <w:iCs/>
          <w:sz w:val="24"/>
          <w:szCs w:val="24"/>
        </w:rPr>
        <w:t>Nat Ecol Evol</w:t>
      </w:r>
      <w:r>
        <w:rPr>
          <w:rFonts w:ascii="Times New Roman" w:hAnsi="Times New Roman" w:cs="Times New Roman"/>
          <w:sz w:val="24"/>
          <w:szCs w:val="24"/>
        </w:rPr>
        <w:t>, 4, 676–685.</w:t>
      </w:r>
    </w:p>
    <w:p w14:paraId="7A3D883F"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Muller, C.B., Adriaanse, I.C.T., Belshaw, R. &amp; Godfray, H.C.J. (1999). The structure of an aphid–parasitoid community. </w:t>
      </w:r>
      <w:r>
        <w:rPr>
          <w:rFonts w:ascii="Times New Roman" w:hAnsi="Times New Roman" w:cs="Times New Roman"/>
          <w:i/>
          <w:iCs/>
          <w:sz w:val="24"/>
          <w:szCs w:val="24"/>
        </w:rPr>
        <w:t>Journal of Animal Ecology</w:t>
      </w:r>
      <w:r>
        <w:rPr>
          <w:rFonts w:ascii="Times New Roman" w:hAnsi="Times New Roman" w:cs="Times New Roman"/>
          <w:sz w:val="24"/>
          <w:szCs w:val="24"/>
        </w:rPr>
        <w:t>, 68, 346–370.</w:t>
      </w:r>
    </w:p>
    <w:p w14:paraId="25A0D57F" w14:textId="77777777" w:rsidR="00B217B8" w:rsidRDefault="00B217B8" w:rsidP="00B217B8">
      <w:pPr>
        <w:pStyle w:val="Bibliography"/>
        <w:rPr>
          <w:rFonts w:ascii="Times New Roman" w:hAnsi="Times New Roman" w:cs="Times New Roman"/>
          <w:sz w:val="24"/>
          <w:szCs w:val="24"/>
        </w:rPr>
      </w:pPr>
      <w:r w:rsidRPr="00B217B8">
        <w:rPr>
          <w:rFonts w:ascii="Times New Roman" w:hAnsi="Times New Roman" w:cs="Times New Roman"/>
          <w:sz w:val="24"/>
          <w:szCs w:val="24"/>
          <w:lang w:val="es-ES"/>
        </w:rPr>
        <w:lastRenderedPageBreak/>
        <w:t xml:space="preserve">Ockendon, N., Shaw, T., Bautista, S., Bhattacharjee, A., Cortina-Segarra, J., Iordache, V., </w:t>
      </w:r>
      <w:r w:rsidRPr="00B217B8">
        <w:rPr>
          <w:rFonts w:ascii="Times New Roman" w:hAnsi="Times New Roman" w:cs="Times New Roman"/>
          <w:i/>
          <w:iCs/>
          <w:sz w:val="24"/>
          <w:szCs w:val="24"/>
          <w:lang w:val="es-ES"/>
        </w:rPr>
        <w:t>et al.</w:t>
      </w:r>
      <w:r w:rsidRPr="00B217B8">
        <w:rPr>
          <w:rFonts w:ascii="Times New Roman" w:hAnsi="Times New Roman" w:cs="Times New Roman"/>
          <w:sz w:val="24"/>
          <w:szCs w:val="24"/>
          <w:lang w:val="es-ES"/>
        </w:rPr>
        <w:t xml:space="preserve"> </w:t>
      </w:r>
      <w:r>
        <w:rPr>
          <w:rFonts w:ascii="Times New Roman" w:hAnsi="Times New Roman" w:cs="Times New Roman"/>
          <w:sz w:val="24"/>
          <w:szCs w:val="24"/>
        </w:rPr>
        <w:t xml:space="preserve">(2025). Overcoming barriers and leveraging opportunities to scale up landscape-scale restoration in Europe. </w:t>
      </w:r>
      <w:r>
        <w:rPr>
          <w:rFonts w:ascii="Times New Roman" w:hAnsi="Times New Roman" w:cs="Times New Roman"/>
          <w:i/>
          <w:iCs/>
          <w:sz w:val="24"/>
          <w:szCs w:val="24"/>
        </w:rPr>
        <w:t>Restoration Ecology</w:t>
      </w:r>
      <w:r>
        <w:rPr>
          <w:rFonts w:ascii="Times New Roman" w:hAnsi="Times New Roman" w:cs="Times New Roman"/>
          <w:sz w:val="24"/>
          <w:szCs w:val="24"/>
        </w:rPr>
        <w:t>, 33, e70075.</w:t>
      </w:r>
    </w:p>
    <w:p w14:paraId="262B1F50"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Phillips, B.B., Shaw, R.F., Holland, M.J., Fry, E.L., Bardgett, R.D., Bullock, J.M., </w:t>
      </w:r>
      <w:r>
        <w:rPr>
          <w:rFonts w:ascii="Times New Roman" w:hAnsi="Times New Roman" w:cs="Times New Roman"/>
          <w:i/>
          <w:iCs/>
          <w:sz w:val="24"/>
          <w:szCs w:val="24"/>
        </w:rPr>
        <w:t>et al.</w:t>
      </w:r>
      <w:r>
        <w:rPr>
          <w:rFonts w:ascii="Times New Roman" w:hAnsi="Times New Roman" w:cs="Times New Roman"/>
          <w:sz w:val="24"/>
          <w:szCs w:val="24"/>
        </w:rPr>
        <w:t xml:space="preserve"> (2018). Drought reduces floral resources for pollinators. </w:t>
      </w:r>
      <w:r>
        <w:rPr>
          <w:rFonts w:ascii="Times New Roman" w:hAnsi="Times New Roman" w:cs="Times New Roman"/>
          <w:i/>
          <w:iCs/>
          <w:sz w:val="24"/>
          <w:szCs w:val="24"/>
        </w:rPr>
        <w:t>Global Change Biology</w:t>
      </w:r>
      <w:r>
        <w:rPr>
          <w:rFonts w:ascii="Times New Roman" w:hAnsi="Times New Roman" w:cs="Times New Roman"/>
          <w:sz w:val="24"/>
          <w:szCs w:val="24"/>
        </w:rPr>
        <w:t>, 24, 3226–3235.</w:t>
      </w:r>
    </w:p>
    <w:p w14:paraId="5F5D000D"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Pilosof, S., Porter, M.A., Pascual, M. &amp; Kéfi, S. (2017). The multilayer nature of ecological networks. </w:t>
      </w:r>
      <w:r>
        <w:rPr>
          <w:rFonts w:ascii="Times New Roman" w:hAnsi="Times New Roman" w:cs="Times New Roman"/>
          <w:i/>
          <w:iCs/>
          <w:sz w:val="24"/>
          <w:szCs w:val="24"/>
        </w:rPr>
        <w:t>Nat Ecol Evol</w:t>
      </w:r>
      <w:r>
        <w:rPr>
          <w:rFonts w:ascii="Times New Roman" w:hAnsi="Times New Roman" w:cs="Times New Roman"/>
          <w:sz w:val="24"/>
          <w:szCs w:val="24"/>
        </w:rPr>
        <w:t>, 1, 1–9.</w:t>
      </w:r>
    </w:p>
    <w:p w14:paraId="0DD7D136"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van der Plas, F. (2019). Biodiversity and ecosystem functioning in naturally assembled communities. </w:t>
      </w:r>
      <w:r>
        <w:rPr>
          <w:rFonts w:ascii="Times New Roman" w:hAnsi="Times New Roman" w:cs="Times New Roman"/>
          <w:i/>
          <w:iCs/>
          <w:sz w:val="24"/>
          <w:szCs w:val="24"/>
        </w:rPr>
        <w:t>Biological Reviews</w:t>
      </w:r>
      <w:r>
        <w:rPr>
          <w:rFonts w:ascii="Times New Roman" w:hAnsi="Times New Roman" w:cs="Times New Roman"/>
          <w:sz w:val="24"/>
          <w:szCs w:val="24"/>
        </w:rPr>
        <w:t>, 94, 1220–1245.</w:t>
      </w:r>
    </w:p>
    <w:p w14:paraId="2B81B9F8"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Pocock, M.J.O., Evans, D.M. &amp; Memmott, J. (2012). The Robustness and Restoration of a Network of Ecological Networks. </w:t>
      </w:r>
      <w:r>
        <w:rPr>
          <w:rFonts w:ascii="Times New Roman" w:hAnsi="Times New Roman" w:cs="Times New Roman"/>
          <w:i/>
          <w:iCs/>
          <w:sz w:val="24"/>
          <w:szCs w:val="24"/>
        </w:rPr>
        <w:t>Science</w:t>
      </w:r>
      <w:r>
        <w:rPr>
          <w:rFonts w:ascii="Times New Roman" w:hAnsi="Times New Roman" w:cs="Times New Roman"/>
          <w:sz w:val="24"/>
          <w:szCs w:val="24"/>
        </w:rPr>
        <w:t>, 335, 973–977.</w:t>
      </w:r>
    </w:p>
    <w:p w14:paraId="2AC81F29"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QGIS.org. (2024). QGIS Geographic Information System.</w:t>
      </w:r>
    </w:p>
    <w:p w14:paraId="5A6026FC"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R Core Team. (2025). R: A language and environment for   statistical computing. R Foundation for Statistical   Computing, Vienna, Austria.</w:t>
      </w:r>
    </w:p>
    <w:p w14:paraId="35C46924"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Resasco, J., Chacoff, N.P. &amp; Vázquez, D.P. (2021). Plant–pollinator interactions between generalists persist over time and space. </w:t>
      </w:r>
      <w:r>
        <w:rPr>
          <w:rFonts w:ascii="Times New Roman" w:hAnsi="Times New Roman" w:cs="Times New Roman"/>
          <w:i/>
          <w:iCs/>
          <w:sz w:val="24"/>
          <w:szCs w:val="24"/>
        </w:rPr>
        <w:t>Ecology</w:t>
      </w:r>
      <w:r>
        <w:rPr>
          <w:rFonts w:ascii="Times New Roman" w:hAnsi="Times New Roman" w:cs="Times New Roman"/>
          <w:sz w:val="24"/>
          <w:szCs w:val="24"/>
        </w:rPr>
        <w:t>, 102, e03359.</w:t>
      </w:r>
    </w:p>
    <w:p w14:paraId="4B024A84"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Rotchés-Ribalta, R., Winsa, M., Roberts, S.P.M. &amp; Öckinger, E. (2018). Associations between plant and pollinator communities under grassland restoration respond mainly to landscape connectivity. </w:t>
      </w:r>
      <w:r>
        <w:rPr>
          <w:rFonts w:ascii="Times New Roman" w:hAnsi="Times New Roman" w:cs="Times New Roman"/>
          <w:i/>
          <w:iCs/>
          <w:sz w:val="24"/>
          <w:szCs w:val="24"/>
        </w:rPr>
        <w:t>Journal of Applied Ecology</w:t>
      </w:r>
      <w:r>
        <w:rPr>
          <w:rFonts w:ascii="Times New Roman" w:hAnsi="Times New Roman" w:cs="Times New Roman"/>
          <w:sz w:val="24"/>
          <w:szCs w:val="24"/>
        </w:rPr>
        <w:t>, 55, 2822–2833.</w:t>
      </w:r>
    </w:p>
    <w:p w14:paraId="31F18BE3"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Roulston, T.H. &amp; Goodell, K. (2011). The Role of Resources and Risks in Regulating Wild Bee Populations. </w:t>
      </w:r>
      <w:r>
        <w:rPr>
          <w:rFonts w:ascii="Times New Roman" w:hAnsi="Times New Roman" w:cs="Times New Roman"/>
          <w:i/>
          <w:iCs/>
          <w:sz w:val="24"/>
          <w:szCs w:val="24"/>
        </w:rPr>
        <w:t>Annual Review of Entomology</w:t>
      </w:r>
      <w:r>
        <w:rPr>
          <w:rFonts w:ascii="Times New Roman" w:hAnsi="Times New Roman" w:cs="Times New Roman"/>
          <w:sz w:val="24"/>
          <w:szCs w:val="24"/>
        </w:rPr>
        <w:t>, 56, 293–312.</w:t>
      </w:r>
    </w:p>
    <w:p w14:paraId="1A904674"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Scheper, J., Bommarco, R., Holzschuh, A., Potts, S.G., Riedinger, V., Roberts, S.P.M., </w:t>
      </w:r>
      <w:r>
        <w:rPr>
          <w:rFonts w:ascii="Times New Roman" w:hAnsi="Times New Roman" w:cs="Times New Roman"/>
          <w:i/>
          <w:iCs/>
          <w:sz w:val="24"/>
          <w:szCs w:val="24"/>
        </w:rPr>
        <w:t>et al.</w:t>
      </w:r>
      <w:r>
        <w:rPr>
          <w:rFonts w:ascii="Times New Roman" w:hAnsi="Times New Roman" w:cs="Times New Roman"/>
          <w:sz w:val="24"/>
          <w:szCs w:val="24"/>
        </w:rPr>
        <w:t xml:space="preserve"> (2015). Local and landscape-level floral resources explain effects of wildflower strips on wild bees across four European countries. </w:t>
      </w:r>
      <w:r>
        <w:rPr>
          <w:rFonts w:ascii="Times New Roman" w:hAnsi="Times New Roman" w:cs="Times New Roman"/>
          <w:i/>
          <w:iCs/>
          <w:sz w:val="24"/>
          <w:szCs w:val="24"/>
        </w:rPr>
        <w:t>Journal of Applied Ecology</w:t>
      </w:r>
      <w:r>
        <w:rPr>
          <w:rFonts w:ascii="Times New Roman" w:hAnsi="Times New Roman" w:cs="Times New Roman"/>
          <w:sz w:val="24"/>
          <w:szCs w:val="24"/>
        </w:rPr>
        <w:t>, 52, 1165–1175.</w:t>
      </w:r>
    </w:p>
    <w:p w14:paraId="2BEB9274" w14:textId="77777777" w:rsidR="00B217B8" w:rsidRPr="00B217B8" w:rsidRDefault="00B217B8" w:rsidP="00B217B8">
      <w:pPr>
        <w:pStyle w:val="Bibliography"/>
        <w:rPr>
          <w:rFonts w:ascii="Times New Roman" w:hAnsi="Times New Roman" w:cs="Times New Roman"/>
          <w:sz w:val="24"/>
          <w:szCs w:val="24"/>
          <w:lang w:val="de-DE"/>
        </w:rPr>
      </w:pPr>
      <w:r>
        <w:rPr>
          <w:rFonts w:ascii="Times New Roman" w:hAnsi="Times New Roman" w:cs="Times New Roman"/>
          <w:sz w:val="24"/>
          <w:szCs w:val="24"/>
        </w:rPr>
        <w:t xml:space="preserve">Segrestin, J., Lisner, A., Götzenberger, L., Hájek, T., Janíková, E., Jílková, V., </w:t>
      </w:r>
      <w:r>
        <w:rPr>
          <w:rFonts w:ascii="Times New Roman" w:hAnsi="Times New Roman" w:cs="Times New Roman"/>
          <w:i/>
          <w:iCs/>
          <w:sz w:val="24"/>
          <w:szCs w:val="24"/>
        </w:rPr>
        <w:t>et al.</w:t>
      </w:r>
      <w:r>
        <w:rPr>
          <w:rFonts w:ascii="Times New Roman" w:hAnsi="Times New Roman" w:cs="Times New Roman"/>
          <w:sz w:val="24"/>
          <w:szCs w:val="24"/>
        </w:rPr>
        <w:t xml:space="preserve"> (2025). Biodiversity loss disrupts seasonal carbon dynamics in a species-rich temperate grassland. </w:t>
      </w:r>
      <w:r w:rsidRPr="00B217B8">
        <w:rPr>
          <w:rFonts w:ascii="Times New Roman" w:hAnsi="Times New Roman" w:cs="Times New Roman"/>
          <w:i/>
          <w:iCs/>
          <w:sz w:val="24"/>
          <w:szCs w:val="24"/>
          <w:lang w:val="de-DE"/>
        </w:rPr>
        <w:t>Ecology</w:t>
      </w:r>
      <w:r w:rsidRPr="00B217B8">
        <w:rPr>
          <w:rFonts w:ascii="Times New Roman" w:hAnsi="Times New Roman" w:cs="Times New Roman"/>
          <w:sz w:val="24"/>
          <w:szCs w:val="24"/>
          <w:lang w:val="de-DE"/>
        </w:rPr>
        <w:t>, 106, e70091.</w:t>
      </w:r>
    </w:p>
    <w:p w14:paraId="075E3C78" w14:textId="77777777" w:rsidR="00B217B8" w:rsidRDefault="00B217B8" w:rsidP="00B217B8">
      <w:pPr>
        <w:pStyle w:val="Bibliography"/>
        <w:rPr>
          <w:rFonts w:ascii="Times New Roman" w:hAnsi="Times New Roman" w:cs="Times New Roman"/>
          <w:sz w:val="24"/>
          <w:szCs w:val="24"/>
        </w:rPr>
      </w:pPr>
      <w:r w:rsidRPr="00B217B8">
        <w:rPr>
          <w:rFonts w:ascii="Times New Roman" w:hAnsi="Times New Roman" w:cs="Times New Roman"/>
          <w:sz w:val="24"/>
          <w:szCs w:val="24"/>
          <w:lang w:val="de-DE"/>
        </w:rPr>
        <w:t xml:space="preserve">Shipley, J.R., Frei, E.R., Bergamini, A., Boch, S., Schulz, T., Ginzler, C., </w:t>
      </w:r>
      <w:r w:rsidRPr="00B217B8">
        <w:rPr>
          <w:rFonts w:ascii="Times New Roman" w:hAnsi="Times New Roman" w:cs="Times New Roman"/>
          <w:i/>
          <w:iCs/>
          <w:sz w:val="24"/>
          <w:szCs w:val="24"/>
          <w:lang w:val="de-DE"/>
        </w:rPr>
        <w:t>et al.</w:t>
      </w:r>
      <w:r w:rsidRPr="00B217B8">
        <w:rPr>
          <w:rFonts w:ascii="Times New Roman" w:hAnsi="Times New Roman" w:cs="Times New Roman"/>
          <w:sz w:val="24"/>
          <w:szCs w:val="24"/>
          <w:lang w:val="de-DE"/>
        </w:rPr>
        <w:t xml:space="preserve"> </w:t>
      </w:r>
      <w:r>
        <w:rPr>
          <w:rFonts w:ascii="Times New Roman" w:hAnsi="Times New Roman" w:cs="Times New Roman"/>
          <w:sz w:val="24"/>
          <w:szCs w:val="24"/>
        </w:rPr>
        <w:t xml:space="preserve">(2024). Agricultural practices and biodiversity: Conservation policies for semi-natural grasslands in Europe. </w:t>
      </w:r>
      <w:r>
        <w:rPr>
          <w:rFonts w:ascii="Times New Roman" w:hAnsi="Times New Roman" w:cs="Times New Roman"/>
          <w:i/>
          <w:iCs/>
          <w:sz w:val="24"/>
          <w:szCs w:val="24"/>
        </w:rPr>
        <w:t>Current Biology</w:t>
      </w:r>
      <w:r>
        <w:rPr>
          <w:rFonts w:ascii="Times New Roman" w:hAnsi="Times New Roman" w:cs="Times New Roman"/>
          <w:sz w:val="24"/>
          <w:szCs w:val="24"/>
        </w:rPr>
        <w:t>, 34, R753–R761.</w:t>
      </w:r>
    </w:p>
    <w:p w14:paraId="45427048"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Sloan, E.T., Hannappel, I., Hass, A.L., Keller, A., Librán-Embid, F., Devalez, J., </w:t>
      </w:r>
      <w:r>
        <w:rPr>
          <w:rFonts w:ascii="Times New Roman" w:hAnsi="Times New Roman" w:cs="Times New Roman"/>
          <w:i/>
          <w:iCs/>
          <w:sz w:val="24"/>
          <w:szCs w:val="24"/>
        </w:rPr>
        <w:t>et al.</w:t>
      </w:r>
      <w:r>
        <w:rPr>
          <w:rFonts w:ascii="Times New Roman" w:hAnsi="Times New Roman" w:cs="Times New Roman"/>
          <w:sz w:val="24"/>
          <w:szCs w:val="24"/>
        </w:rPr>
        <w:t xml:space="preserve"> (2025). Floral resources in the surrounding landscape matrix augment plant species richness of bumblebee pollen loads in small, fragmented calcareous grasslands. </w:t>
      </w:r>
      <w:r>
        <w:rPr>
          <w:rFonts w:ascii="Times New Roman" w:hAnsi="Times New Roman" w:cs="Times New Roman"/>
          <w:i/>
          <w:iCs/>
          <w:sz w:val="24"/>
          <w:szCs w:val="24"/>
        </w:rPr>
        <w:t>Biological Conservation</w:t>
      </w:r>
      <w:r>
        <w:rPr>
          <w:rFonts w:ascii="Times New Roman" w:hAnsi="Times New Roman" w:cs="Times New Roman"/>
          <w:sz w:val="24"/>
          <w:szCs w:val="24"/>
        </w:rPr>
        <w:t>, 310, 111379.</w:t>
      </w:r>
    </w:p>
    <w:p w14:paraId="20DA45D6"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Sõber, V., Aavik, T., Kaasik, A., Mesipuu, M. &amp; Teder, T. (2024). Insect-pollinated plants are first to disappear from overgrowing grasslands: Implications for restoring functional ecosystems. </w:t>
      </w:r>
      <w:r>
        <w:rPr>
          <w:rFonts w:ascii="Times New Roman" w:hAnsi="Times New Roman" w:cs="Times New Roman"/>
          <w:i/>
          <w:iCs/>
          <w:sz w:val="24"/>
          <w:szCs w:val="24"/>
        </w:rPr>
        <w:t>Biological Conservation</w:t>
      </w:r>
      <w:r>
        <w:rPr>
          <w:rFonts w:ascii="Times New Roman" w:hAnsi="Times New Roman" w:cs="Times New Roman"/>
          <w:sz w:val="24"/>
          <w:szCs w:val="24"/>
        </w:rPr>
        <w:t>, 291, 110457.</w:t>
      </w:r>
    </w:p>
    <w:p w14:paraId="70B5E7C0"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Tälle, M., Deák, B., Poschlod, P., Valkó, O., Westerberg, L. &amp; Milberg, P. (2016). Grazing vs. mowing: A meta-analysis of biodiversity benefits for grassland management. </w:t>
      </w:r>
      <w:r>
        <w:rPr>
          <w:rFonts w:ascii="Times New Roman" w:hAnsi="Times New Roman" w:cs="Times New Roman"/>
          <w:i/>
          <w:iCs/>
          <w:sz w:val="24"/>
          <w:szCs w:val="24"/>
        </w:rPr>
        <w:t>Agriculture, Ecosystems &amp; Environment</w:t>
      </w:r>
      <w:r>
        <w:rPr>
          <w:rFonts w:ascii="Times New Roman" w:hAnsi="Times New Roman" w:cs="Times New Roman"/>
          <w:sz w:val="24"/>
          <w:szCs w:val="24"/>
        </w:rPr>
        <w:t>, 222, 200–212.</w:t>
      </w:r>
    </w:p>
    <w:p w14:paraId="0D8895C2" w14:textId="77777777" w:rsidR="00B217B8" w:rsidRDefault="00B217B8" w:rsidP="00B217B8">
      <w:pPr>
        <w:pStyle w:val="Bibliography"/>
        <w:rPr>
          <w:rFonts w:ascii="Times New Roman" w:hAnsi="Times New Roman" w:cs="Times New Roman"/>
          <w:sz w:val="24"/>
          <w:szCs w:val="24"/>
        </w:rPr>
      </w:pPr>
      <w:r>
        <w:rPr>
          <w:rFonts w:ascii="Times New Roman" w:hAnsi="Times New Roman" w:cs="Times New Roman"/>
          <w:sz w:val="24"/>
          <w:szCs w:val="24"/>
        </w:rPr>
        <w:t xml:space="preserve">WallisDeVries, M.F., Poschlod, P. &amp; Willems, J.H. (2002). Challenges for the conservation of calcareous grasslands in northwestern Europe: integrating the requirements of flora and fauna. </w:t>
      </w:r>
      <w:r>
        <w:rPr>
          <w:rFonts w:ascii="Times New Roman" w:hAnsi="Times New Roman" w:cs="Times New Roman"/>
          <w:i/>
          <w:iCs/>
          <w:sz w:val="24"/>
          <w:szCs w:val="24"/>
        </w:rPr>
        <w:t>Biological Conservation</w:t>
      </w:r>
      <w:r>
        <w:rPr>
          <w:rFonts w:ascii="Times New Roman" w:hAnsi="Times New Roman" w:cs="Times New Roman"/>
          <w:sz w:val="24"/>
          <w:szCs w:val="24"/>
        </w:rPr>
        <w:t>, 104, 265–273.</w:t>
      </w:r>
    </w:p>
    <w:p w14:paraId="4BE5E142" w14:textId="77777777" w:rsidR="00B217B8" w:rsidRPr="00B217B8" w:rsidRDefault="00B217B8" w:rsidP="00B217B8">
      <w:pPr>
        <w:pStyle w:val="Bibliography"/>
        <w:rPr>
          <w:rFonts w:ascii="Times New Roman" w:hAnsi="Times New Roman" w:cs="Times New Roman"/>
          <w:sz w:val="24"/>
          <w:szCs w:val="24"/>
          <w:lang w:val="de-DE"/>
        </w:rPr>
      </w:pPr>
      <w:r>
        <w:rPr>
          <w:rFonts w:ascii="Times New Roman" w:hAnsi="Times New Roman" w:cs="Times New Roman"/>
          <w:sz w:val="24"/>
          <w:szCs w:val="24"/>
        </w:rPr>
        <w:t xml:space="preserve">Westphal, C., Bommarco, R., Carré, G., Lamborn, E., Morison, N., Petanidou, T., </w:t>
      </w:r>
      <w:r>
        <w:rPr>
          <w:rFonts w:ascii="Times New Roman" w:hAnsi="Times New Roman" w:cs="Times New Roman"/>
          <w:i/>
          <w:iCs/>
          <w:sz w:val="24"/>
          <w:szCs w:val="24"/>
        </w:rPr>
        <w:t>et al.</w:t>
      </w:r>
      <w:r>
        <w:rPr>
          <w:rFonts w:ascii="Times New Roman" w:hAnsi="Times New Roman" w:cs="Times New Roman"/>
          <w:sz w:val="24"/>
          <w:szCs w:val="24"/>
        </w:rPr>
        <w:t xml:space="preserve"> (2008). Measuring Bee Diversity in Different European Habitats and Biogeographical Regions. </w:t>
      </w:r>
      <w:r w:rsidRPr="00B217B8">
        <w:rPr>
          <w:rFonts w:ascii="Times New Roman" w:hAnsi="Times New Roman" w:cs="Times New Roman"/>
          <w:i/>
          <w:iCs/>
          <w:sz w:val="24"/>
          <w:szCs w:val="24"/>
          <w:lang w:val="de-DE"/>
        </w:rPr>
        <w:t>Ecological Monographs</w:t>
      </w:r>
      <w:r w:rsidRPr="00B217B8">
        <w:rPr>
          <w:rFonts w:ascii="Times New Roman" w:hAnsi="Times New Roman" w:cs="Times New Roman"/>
          <w:sz w:val="24"/>
          <w:szCs w:val="24"/>
          <w:lang w:val="de-DE"/>
        </w:rPr>
        <w:t>, 78, 653–671.</w:t>
      </w:r>
    </w:p>
    <w:p w14:paraId="4CFF7A24" w14:textId="77777777" w:rsidR="00B217B8" w:rsidRPr="00B217B8" w:rsidRDefault="00B217B8" w:rsidP="00B217B8">
      <w:pPr>
        <w:pStyle w:val="Bibliography"/>
        <w:rPr>
          <w:rFonts w:ascii="Times New Roman" w:hAnsi="Times New Roman" w:cs="Times New Roman"/>
          <w:sz w:val="24"/>
          <w:szCs w:val="24"/>
          <w:lang w:val="de-DE"/>
        </w:rPr>
      </w:pPr>
      <w:r w:rsidRPr="00B217B8">
        <w:rPr>
          <w:rFonts w:ascii="Times New Roman" w:hAnsi="Times New Roman" w:cs="Times New Roman"/>
          <w:sz w:val="24"/>
          <w:szCs w:val="24"/>
          <w:lang w:val="de-DE"/>
        </w:rPr>
        <w:t xml:space="preserve">Westrich, P. (2018). </w:t>
      </w:r>
      <w:r w:rsidRPr="00B217B8">
        <w:rPr>
          <w:rFonts w:ascii="Times New Roman" w:hAnsi="Times New Roman" w:cs="Times New Roman"/>
          <w:i/>
          <w:iCs/>
          <w:sz w:val="24"/>
          <w:szCs w:val="24"/>
          <w:lang w:val="de-DE"/>
        </w:rPr>
        <w:t>Die Wildbienen Deutschlands</w:t>
      </w:r>
      <w:r w:rsidRPr="00B217B8">
        <w:rPr>
          <w:rFonts w:ascii="Times New Roman" w:hAnsi="Times New Roman" w:cs="Times New Roman"/>
          <w:sz w:val="24"/>
          <w:szCs w:val="24"/>
          <w:lang w:val="de-DE"/>
        </w:rPr>
        <w:t>. Eugen Ulmer, Sturrgart.</w:t>
      </w:r>
    </w:p>
    <w:p w14:paraId="7FFD96C2" w14:textId="77777777" w:rsidR="00B217B8" w:rsidRPr="00B217B8" w:rsidRDefault="00B217B8" w:rsidP="00B217B8">
      <w:pPr>
        <w:pStyle w:val="Bibliography"/>
        <w:rPr>
          <w:rFonts w:ascii="Times New Roman" w:hAnsi="Times New Roman" w:cs="Times New Roman"/>
          <w:sz w:val="24"/>
          <w:szCs w:val="24"/>
          <w:lang w:val="de-DE"/>
        </w:rPr>
      </w:pPr>
      <w:r>
        <w:rPr>
          <w:rFonts w:ascii="Times New Roman" w:hAnsi="Times New Roman" w:cs="Times New Roman"/>
          <w:sz w:val="24"/>
          <w:szCs w:val="24"/>
        </w:rPr>
        <w:lastRenderedPageBreak/>
        <w:t xml:space="preserve">Wickham, H., Averick, M., Bryan, J., Chang, W., McGowan, L., François, R., </w:t>
      </w:r>
      <w:r>
        <w:rPr>
          <w:rFonts w:ascii="Times New Roman" w:hAnsi="Times New Roman" w:cs="Times New Roman"/>
          <w:i/>
          <w:iCs/>
          <w:sz w:val="24"/>
          <w:szCs w:val="24"/>
        </w:rPr>
        <w:t>et al.</w:t>
      </w:r>
      <w:r>
        <w:rPr>
          <w:rFonts w:ascii="Times New Roman" w:hAnsi="Times New Roman" w:cs="Times New Roman"/>
          <w:sz w:val="24"/>
          <w:szCs w:val="24"/>
        </w:rPr>
        <w:t xml:space="preserve"> (2019). Welcome to the Tidyverse. </w:t>
      </w:r>
      <w:r w:rsidRPr="00B217B8">
        <w:rPr>
          <w:rFonts w:ascii="Times New Roman" w:hAnsi="Times New Roman" w:cs="Times New Roman"/>
          <w:i/>
          <w:iCs/>
          <w:sz w:val="24"/>
          <w:szCs w:val="24"/>
          <w:lang w:val="de-DE"/>
        </w:rPr>
        <w:t>JOSS</w:t>
      </w:r>
      <w:r w:rsidRPr="00B217B8">
        <w:rPr>
          <w:rFonts w:ascii="Times New Roman" w:hAnsi="Times New Roman" w:cs="Times New Roman"/>
          <w:sz w:val="24"/>
          <w:szCs w:val="24"/>
          <w:lang w:val="de-DE"/>
        </w:rPr>
        <w:t>, 4, 1686.</w:t>
      </w:r>
    </w:p>
    <w:p w14:paraId="3E8D8EF5" w14:textId="77777777" w:rsidR="00B217B8" w:rsidRDefault="00B217B8" w:rsidP="00B217B8">
      <w:pPr>
        <w:pStyle w:val="Bibliography"/>
        <w:rPr>
          <w:rFonts w:ascii="Times New Roman" w:hAnsi="Times New Roman" w:cs="Times New Roman"/>
          <w:sz w:val="24"/>
          <w:szCs w:val="24"/>
        </w:rPr>
      </w:pPr>
      <w:r w:rsidRPr="00B217B8">
        <w:rPr>
          <w:rFonts w:ascii="Times New Roman" w:hAnsi="Times New Roman" w:cs="Times New Roman"/>
          <w:sz w:val="24"/>
          <w:szCs w:val="24"/>
          <w:lang w:val="de-DE"/>
        </w:rPr>
        <w:t xml:space="preserve">Wu, H., Soleiman, J., Bolam, J. &amp; Boyle, J.S. (2025). </w:t>
      </w:r>
      <w:r>
        <w:rPr>
          <w:rFonts w:ascii="Times New Roman" w:hAnsi="Times New Roman" w:cs="Times New Roman"/>
          <w:sz w:val="24"/>
          <w:szCs w:val="24"/>
        </w:rPr>
        <w:t xml:space="preserve">Exploring a unified definition of ecological complexity towards restoration. </w:t>
      </w:r>
      <w:r>
        <w:rPr>
          <w:rFonts w:ascii="Times New Roman" w:hAnsi="Times New Roman" w:cs="Times New Roman"/>
          <w:i/>
          <w:iCs/>
          <w:sz w:val="24"/>
          <w:szCs w:val="24"/>
        </w:rPr>
        <w:t>Total Environment Advances</w:t>
      </w:r>
      <w:r>
        <w:rPr>
          <w:rFonts w:ascii="Times New Roman" w:hAnsi="Times New Roman" w:cs="Times New Roman"/>
          <w:sz w:val="24"/>
          <w:szCs w:val="24"/>
        </w:rPr>
        <w:t>, 14, 200125.</w:t>
      </w:r>
    </w:p>
    <w:p w14:paraId="3EAEDB2D" w14:textId="57B217DB" w:rsidR="00000B88" w:rsidRDefault="00B13086">
      <w:pPr>
        <w:spacing w:line="480" w:lineRule="auto"/>
        <w:ind w:firstLine="708"/>
        <w:jc w:val="both"/>
      </w:pPr>
      <w:r>
        <w:fldChar w:fldCharType="end"/>
      </w:r>
    </w:p>
    <w:p w14:paraId="38D4B935" w14:textId="77777777" w:rsidR="00000B88" w:rsidRDefault="00000B88">
      <w:pPr>
        <w:spacing w:after="0" w:line="240" w:lineRule="auto"/>
      </w:pPr>
      <w:r>
        <w:br w:type="page"/>
      </w:r>
    </w:p>
    <w:p w14:paraId="5F064D07" w14:textId="1F9B01B9" w:rsidR="00ED3D4B" w:rsidRPr="00000B88" w:rsidRDefault="00000B88">
      <w:pPr>
        <w:spacing w:line="480" w:lineRule="auto"/>
        <w:ind w:firstLine="708"/>
        <w:jc w:val="both"/>
        <w:rPr>
          <w:rFonts w:ascii="Times New Roman" w:hAnsi="Times New Roman" w:cs="Times New Roman"/>
          <w:b/>
          <w:sz w:val="24"/>
          <w:szCs w:val="24"/>
        </w:rPr>
      </w:pPr>
      <w:r w:rsidRPr="00000B88">
        <w:rPr>
          <w:rFonts w:ascii="Times New Roman" w:hAnsi="Times New Roman" w:cs="Times New Roman"/>
          <w:b/>
          <w:sz w:val="24"/>
          <w:szCs w:val="24"/>
        </w:rPr>
        <w:lastRenderedPageBreak/>
        <w:t>Figures:</w:t>
      </w:r>
    </w:p>
    <w:p w14:paraId="189DCA0F" w14:textId="7F722C95" w:rsidR="00000B88" w:rsidRDefault="00000B88">
      <w:pPr>
        <w:spacing w:line="48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0" allowOverlap="1" wp14:anchorId="5A2541B8" wp14:editId="625717C4">
            <wp:simplePos x="0" y="0"/>
            <wp:positionH relativeFrom="margin">
              <wp:posOffset>0</wp:posOffset>
            </wp:positionH>
            <wp:positionV relativeFrom="paragraph">
              <wp:posOffset>447040</wp:posOffset>
            </wp:positionV>
            <wp:extent cx="6318250" cy="3515360"/>
            <wp:effectExtent l="0" t="0" r="635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53"/>
                    <a:stretch>
                      <a:fillRect/>
                    </a:stretch>
                  </pic:blipFill>
                  <pic:spPr bwMode="auto">
                    <a:xfrm>
                      <a:off x="0" y="0"/>
                      <a:ext cx="6318250" cy="3515360"/>
                    </a:xfrm>
                    <a:prstGeom prst="rect">
                      <a:avLst/>
                    </a:prstGeom>
                  </pic:spPr>
                </pic:pic>
              </a:graphicData>
            </a:graphic>
          </wp:anchor>
        </w:drawing>
      </w:r>
    </w:p>
    <w:p w14:paraId="54A2BBFE" w14:textId="77777777" w:rsidR="00000B88" w:rsidRDefault="00000B88" w:rsidP="00000B88">
      <w:pPr>
        <w:spacing w:line="480" w:lineRule="auto"/>
        <w:ind w:firstLine="708"/>
        <w:jc w:val="both"/>
        <w:rPr>
          <w:rFonts w:ascii="Times New Roman" w:hAnsi="Times New Roman" w:cs="Times New Roman"/>
          <w:sz w:val="24"/>
          <w:szCs w:val="24"/>
        </w:rPr>
      </w:pPr>
    </w:p>
    <w:p w14:paraId="2759A822" w14:textId="77777777" w:rsidR="00000B88" w:rsidRPr="00000B88" w:rsidRDefault="00000B88" w:rsidP="00000B88">
      <w:pPr>
        <w:spacing w:line="480" w:lineRule="auto"/>
        <w:ind w:firstLine="708"/>
        <w:jc w:val="both"/>
        <w:rPr>
          <w:rFonts w:ascii="Times New Roman" w:hAnsi="Times New Roman" w:cs="Times New Roman"/>
        </w:rPr>
      </w:pPr>
      <w:r w:rsidRPr="00000B88">
        <w:rPr>
          <w:rFonts w:ascii="Times New Roman" w:hAnsi="Times New Roman" w:cs="Times New Roman"/>
        </w:rPr>
        <w:t>Figure 1: Conceptual summary of the analytical framework. We studied how species ‘ecological specialization (habitat and interaction specialization) is related to meta-network metrics of individual grasslands. Additionally, we analyzed the effect of local habitat quality, created by a gradient of local management, and landscape context, i.e. the cover of calcareous grasslands and AES in the surrounding landscape, on the role of the grasslands in the meta-network structure. Landscape AES were either integrated into crop production (productive AES) or set aside measures (non-productive AES).</w:t>
      </w:r>
    </w:p>
    <w:p w14:paraId="64E6465C" w14:textId="09368C1E" w:rsidR="00000B88" w:rsidRDefault="00000B8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1D7B123" w14:textId="7C902A52" w:rsidR="00000B88" w:rsidRDefault="00000B88" w:rsidP="00000B88">
      <w:pPr>
        <w:spacing w:line="480" w:lineRule="auto"/>
        <w:jc w:val="both"/>
        <w:rPr>
          <w:rFonts w:ascii="Times New Roman" w:hAnsi="Times New Roman" w:cs="Times New Roman"/>
          <w:sz w:val="20"/>
          <w:szCs w:val="20"/>
        </w:rPr>
      </w:pPr>
      <w:r>
        <w:rPr>
          <w:noProof/>
        </w:rPr>
        <w:lastRenderedPageBreak/>
        <w:drawing>
          <wp:inline distT="0" distB="0" distL="0" distR="0" wp14:anchorId="41B48267" wp14:editId="44FB7193">
            <wp:extent cx="5683885" cy="47796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54"/>
                    <a:stretch>
                      <a:fillRect/>
                    </a:stretch>
                  </pic:blipFill>
                  <pic:spPr bwMode="auto">
                    <a:xfrm>
                      <a:off x="0" y="0"/>
                      <a:ext cx="5683885" cy="4779645"/>
                    </a:xfrm>
                    <a:prstGeom prst="rect">
                      <a:avLst/>
                    </a:prstGeom>
                  </pic:spPr>
                </pic:pic>
              </a:graphicData>
            </a:graphic>
          </wp:inline>
        </w:drawing>
      </w:r>
    </w:p>
    <w:p w14:paraId="41F9440A" w14:textId="5E641DCA" w:rsidR="00000B88" w:rsidRPr="00000B88" w:rsidRDefault="00000B88" w:rsidP="00000B88">
      <w:pPr>
        <w:spacing w:line="480" w:lineRule="auto"/>
        <w:jc w:val="both"/>
        <w:rPr>
          <w:rFonts w:ascii="Times New Roman" w:hAnsi="Times New Roman" w:cs="Times New Roman"/>
          <w:szCs w:val="20"/>
        </w:rPr>
      </w:pPr>
      <w:r w:rsidRPr="00000B88">
        <w:rPr>
          <w:rFonts w:ascii="Times New Roman" w:hAnsi="Times New Roman" w:cs="Times New Roman"/>
          <w:szCs w:val="20"/>
        </w:rPr>
        <w:t>Figure 2: Map of studied regions and representation of each meta-network per country. Studied regions are marked in dark green on the European map. For each country, the representation of the plant-wild bee meta-networks structure is presented using two different projections. 1) Panels A, C and E show the unipartite projection where the location of calcareous grasslands is presented in colored dots based on the number of interactions hold in each grassland, and yellow lines connect calcareous grasslands when they share the same plant-wild pollinator interaction, projected in the physical maps (satellite images from Google Maps, 2025). 2) Panels B, D and F show the bipartite projection: calcareous grasslands are represented by green nodes, whereas interactions are represented by yellow nodes. Whenever an interaction is occurring uniquely in one site during the whole monitoring period (single-site interactions), the yellow node connects with one single green node.</w:t>
      </w:r>
    </w:p>
    <w:p w14:paraId="3E0D99CF" w14:textId="77777777" w:rsidR="000F56B8" w:rsidRDefault="000F56B8" w:rsidP="000F56B8">
      <w:pPr>
        <w:spacing w:line="480" w:lineRule="auto"/>
        <w:ind w:firstLine="708"/>
        <w:jc w:val="both"/>
        <w:rPr>
          <w:rFonts w:ascii="Times New Roman" w:hAnsi="Times New Roman" w:cs="Times New Roman"/>
        </w:rPr>
      </w:pPr>
    </w:p>
    <w:p w14:paraId="12E61EB5" w14:textId="4D75DF8A" w:rsidR="000F56B8" w:rsidRPr="000F56B8" w:rsidRDefault="000F56B8" w:rsidP="000F56B8">
      <w:pPr>
        <w:spacing w:line="480" w:lineRule="auto"/>
        <w:ind w:firstLine="708"/>
        <w:jc w:val="both"/>
        <w:rPr>
          <w:rFonts w:ascii="Times New Roman" w:hAnsi="Times New Roman" w:cs="Times New Roman"/>
          <w:iCs/>
          <w:szCs w:val="24"/>
        </w:rPr>
      </w:pPr>
      <w:r w:rsidRPr="000F56B8">
        <w:rPr>
          <w:noProof/>
          <w:sz w:val="24"/>
        </w:rPr>
        <w:drawing>
          <wp:anchor distT="0" distB="0" distL="0" distR="114300" simplePos="0" relativeHeight="251661312" behindDoc="0" locked="0" layoutInCell="0" allowOverlap="1" wp14:anchorId="2134CBE4" wp14:editId="017E9DE8">
            <wp:simplePos x="0" y="0"/>
            <wp:positionH relativeFrom="margin">
              <wp:align>left</wp:align>
            </wp:positionH>
            <wp:positionV relativeFrom="paragraph">
              <wp:posOffset>635</wp:posOffset>
            </wp:positionV>
            <wp:extent cx="6228080" cy="31146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5"/>
                    <a:stretch>
                      <a:fillRect/>
                    </a:stretch>
                  </pic:blipFill>
                  <pic:spPr bwMode="auto">
                    <a:xfrm>
                      <a:off x="0" y="0"/>
                      <a:ext cx="6228080" cy="3114675"/>
                    </a:xfrm>
                    <a:prstGeom prst="rect">
                      <a:avLst/>
                    </a:prstGeom>
                  </pic:spPr>
                </pic:pic>
              </a:graphicData>
            </a:graphic>
          </wp:anchor>
        </w:drawing>
      </w:r>
      <w:r w:rsidRPr="000F56B8">
        <w:rPr>
          <w:rFonts w:ascii="Times New Roman" w:hAnsi="Times New Roman" w:cs="Times New Roman"/>
        </w:rPr>
        <w:t xml:space="preserve">Figure 3: Kendall correlations among grassland meta-network metrics (Interact Rich: </w:t>
      </w:r>
      <w:r w:rsidRPr="000F56B8">
        <w:rPr>
          <w:rFonts w:ascii="Times New Roman" w:hAnsi="Times New Roman" w:cs="Times New Roman"/>
          <w:szCs w:val="24"/>
        </w:rPr>
        <w:t xml:space="preserve">richness of interactions; S-S Interact Rich: number of single-site interactions; Prop S-S Interact: proportion of single site interactions, Eigenvector Cent: grasslands eigenvector centrality; Closeness Cent: grasslands closeness centrality; Apparent Influence: grasslands apparent influence) and species’ richness </w:t>
      </w:r>
      <w:r w:rsidRPr="000F56B8">
        <w:rPr>
          <w:rFonts w:ascii="Times New Roman" w:hAnsi="Times New Roman" w:cs="Times New Roman"/>
          <w:iCs/>
          <w:szCs w:val="24"/>
        </w:rPr>
        <w:t xml:space="preserve">and </w:t>
      </w:r>
      <w:r w:rsidRPr="000F56B8">
        <w:rPr>
          <w:rFonts w:ascii="Times New Roman" w:hAnsi="Times New Roman" w:cs="Times New Roman"/>
          <w:szCs w:val="24"/>
        </w:rPr>
        <w:t xml:space="preserve"> ecological specialization (GP: Generalist Plant; GB: Generalist Wild Bee; SP: Specialist Plant; SB: Specialist Wild Bee; WP: Widespread Plants; LP: Local Plants). Tile color indicates the correlation estimate (see legend: green for positive, purple for negative), while texture provides redundant encoding: striped tiles represent positive correlations, dotted tiles represent negative correlations, and denser textures indicate stronger associations.</w:t>
      </w:r>
      <w:r w:rsidRPr="000F56B8">
        <w:rPr>
          <w:rFonts w:ascii="Times New Roman" w:hAnsi="Times New Roman" w:cs="Times New Roman"/>
          <w:iCs/>
          <w:szCs w:val="24"/>
        </w:rPr>
        <w:t xml:space="preserve"> Significant results are marked with thick black margin of the tile.</w:t>
      </w:r>
    </w:p>
    <w:p w14:paraId="0CAA029D" w14:textId="7AA4F8D0" w:rsidR="000F56B8" w:rsidRDefault="000F56B8">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E4B5D30" w14:textId="4A11073D" w:rsidR="000F56B8" w:rsidRDefault="00C951F3" w:rsidP="000F56B8">
      <w:pPr>
        <w:spacing w:line="480" w:lineRule="auto"/>
        <w:jc w:val="both"/>
        <w:rPr>
          <w:rFonts w:ascii="Times New Roman" w:hAnsi="Times New Roman" w:cs="Times New Roman"/>
          <w:sz w:val="20"/>
          <w:szCs w:val="24"/>
        </w:rPr>
      </w:pPr>
      <w:r>
        <w:rPr>
          <w:noProof/>
        </w:rPr>
        <w:lastRenderedPageBreak/>
        <w:drawing>
          <wp:inline distT="0" distB="0" distL="0" distR="0" wp14:anchorId="0A4F78E5" wp14:editId="21B7991F">
            <wp:extent cx="5972810" cy="2537622"/>
            <wp:effectExtent l="0" t="0" r="889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56"/>
                    <a:stretch>
                      <a:fillRect/>
                    </a:stretch>
                  </pic:blipFill>
                  <pic:spPr bwMode="auto">
                    <a:xfrm>
                      <a:off x="0" y="0"/>
                      <a:ext cx="5972810" cy="2537622"/>
                    </a:xfrm>
                    <a:prstGeom prst="rect">
                      <a:avLst/>
                    </a:prstGeom>
                  </pic:spPr>
                </pic:pic>
              </a:graphicData>
            </a:graphic>
          </wp:inline>
        </w:drawing>
      </w:r>
    </w:p>
    <w:p w14:paraId="3529BE14" w14:textId="3056D58D" w:rsidR="000F56B8" w:rsidRPr="000F56B8" w:rsidRDefault="000F56B8" w:rsidP="000F56B8">
      <w:pPr>
        <w:spacing w:line="480" w:lineRule="auto"/>
        <w:jc w:val="both"/>
        <w:rPr>
          <w:rFonts w:ascii="Times New Roman" w:hAnsi="Times New Roman" w:cs="Times New Roman"/>
          <w:szCs w:val="24"/>
        </w:rPr>
      </w:pPr>
      <w:r w:rsidRPr="000F56B8">
        <w:rPr>
          <w:rFonts w:ascii="Times New Roman" w:hAnsi="Times New Roman" w:cs="Times New Roman"/>
          <w:szCs w:val="24"/>
        </w:rPr>
        <w:t>Figure 4: Effect of the flower cover, flower richness, woody cover, grassland size, landscape cover of calcareous grasslands, landscape cover of productive AES, and landscape cover of non-productive AES on the studied meta-network metrics differentiated by color (see legend). Whiskers represent 95% confidence intervals of the estimated effects. An explanatory variable is significant if whiskers do not overlap the zero dashed line (shown in bold). Non-significant effects are show with dashed and transparent lines. Country effects have been dropped for visualization purposes.</w:t>
      </w:r>
    </w:p>
    <w:p w14:paraId="25EA3A07" w14:textId="77777777" w:rsidR="00000B88" w:rsidRDefault="00000B88">
      <w:pPr>
        <w:spacing w:line="480" w:lineRule="auto"/>
        <w:ind w:firstLine="708"/>
        <w:jc w:val="both"/>
        <w:rPr>
          <w:rFonts w:ascii="Times New Roman" w:hAnsi="Times New Roman" w:cs="Times New Roman"/>
          <w:sz w:val="24"/>
          <w:szCs w:val="24"/>
        </w:rPr>
      </w:pPr>
    </w:p>
    <w:sectPr w:rsidR="00000B88">
      <w:footerReference w:type="default" r:id="rId57"/>
      <w:pgSz w:w="12240" w:h="15840"/>
      <w:pgMar w:top="1417" w:right="1417" w:bottom="1134" w:left="1417" w:header="0" w:footer="0" w:gutter="0"/>
      <w:lnNumType w:countBy="1" w:distance="283" w:restart="continuous"/>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8CA58" w14:textId="77777777" w:rsidR="00150258" w:rsidRDefault="00150258" w:rsidP="00FF44E1">
      <w:pPr>
        <w:spacing w:after="0" w:line="240" w:lineRule="auto"/>
      </w:pPr>
      <w:r>
        <w:separator/>
      </w:r>
    </w:p>
  </w:endnote>
  <w:endnote w:type="continuationSeparator" w:id="0">
    <w:p w14:paraId="396C8962" w14:textId="77777777" w:rsidR="00150258" w:rsidRDefault="00150258" w:rsidP="00FF4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Noto Sans Devanagari">
    <w:altName w:val="Mangal"/>
    <w:charset w:val="00"/>
    <w:family w:val="swiss"/>
    <w:pitch w:val="variable"/>
    <w:sig w:usb0="80008023" w:usb1="00002046"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1579022"/>
      <w:docPartObj>
        <w:docPartGallery w:val="Page Numbers (Bottom of Page)"/>
        <w:docPartUnique/>
      </w:docPartObj>
    </w:sdtPr>
    <w:sdtEndPr>
      <w:rPr>
        <w:noProof/>
      </w:rPr>
    </w:sdtEndPr>
    <w:sdtContent>
      <w:p w14:paraId="4B1092E0" w14:textId="767009DE" w:rsidR="00807EA9" w:rsidRDefault="00807E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A23D7A" w14:textId="77777777" w:rsidR="00807EA9" w:rsidRDefault="00807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9DE62" w14:textId="77777777" w:rsidR="00150258" w:rsidRDefault="00150258" w:rsidP="00FF44E1">
      <w:pPr>
        <w:spacing w:after="0" w:line="240" w:lineRule="auto"/>
      </w:pPr>
      <w:r>
        <w:separator/>
      </w:r>
    </w:p>
  </w:footnote>
  <w:footnote w:type="continuationSeparator" w:id="0">
    <w:p w14:paraId="61286B2F" w14:textId="77777777" w:rsidR="00150258" w:rsidRDefault="00150258" w:rsidP="00FF44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11555"/>
    <w:multiLevelType w:val="multilevel"/>
    <w:tmpl w:val="4798F8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4132755"/>
    <w:multiLevelType w:val="multilevel"/>
    <w:tmpl w:val="F1B663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819931696">
    <w:abstractNumId w:val="1"/>
  </w:num>
  <w:num w:numId="2" w16cid:durableId="1585063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D4B"/>
    <w:rsid w:val="00000648"/>
    <w:rsid w:val="00000B88"/>
    <w:rsid w:val="00013BE8"/>
    <w:rsid w:val="0005128A"/>
    <w:rsid w:val="00051BA3"/>
    <w:rsid w:val="000633A0"/>
    <w:rsid w:val="0008709E"/>
    <w:rsid w:val="000C6146"/>
    <w:rsid w:val="000D08DC"/>
    <w:rsid w:val="000D1BCF"/>
    <w:rsid w:val="000F56B8"/>
    <w:rsid w:val="001119BB"/>
    <w:rsid w:val="0013794A"/>
    <w:rsid w:val="00150258"/>
    <w:rsid w:val="00186F21"/>
    <w:rsid w:val="001A4DAD"/>
    <w:rsid w:val="001C4086"/>
    <w:rsid w:val="00353C6E"/>
    <w:rsid w:val="003B5155"/>
    <w:rsid w:val="003D3BB8"/>
    <w:rsid w:val="003F7D2E"/>
    <w:rsid w:val="00404919"/>
    <w:rsid w:val="004A4063"/>
    <w:rsid w:val="004D413A"/>
    <w:rsid w:val="004F2E6E"/>
    <w:rsid w:val="00533399"/>
    <w:rsid w:val="00557B44"/>
    <w:rsid w:val="005A0569"/>
    <w:rsid w:val="005A1637"/>
    <w:rsid w:val="005E2239"/>
    <w:rsid w:val="005F3345"/>
    <w:rsid w:val="00606F35"/>
    <w:rsid w:val="00607497"/>
    <w:rsid w:val="006352E6"/>
    <w:rsid w:val="0064052E"/>
    <w:rsid w:val="00645F19"/>
    <w:rsid w:val="00671C80"/>
    <w:rsid w:val="006B0CFC"/>
    <w:rsid w:val="006D7443"/>
    <w:rsid w:val="00704FFE"/>
    <w:rsid w:val="00740B1A"/>
    <w:rsid w:val="007A6BEC"/>
    <w:rsid w:val="007E1B57"/>
    <w:rsid w:val="00807EA9"/>
    <w:rsid w:val="00837B20"/>
    <w:rsid w:val="00840183"/>
    <w:rsid w:val="00881363"/>
    <w:rsid w:val="008978DE"/>
    <w:rsid w:val="008D3B19"/>
    <w:rsid w:val="008E601A"/>
    <w:rsid w:val="0090148A"/>
    <w:rsid w:val="009317B0"/>
    <w:rsid w:val="00933F62"/>
    <w:rsid w:val="00934BEE"/>
    <w:rsid w:val="0094519E"/>
    <w:rsid w:val="00967435"/>
    <w:rsid w:val="009955B7"/>
    <w:rsid w:val="00995915"/>
    <w:rsid w:val="009A211F"/>
    <w:rsid w:val="009F3ABF"/>
    <w:rsid w:val="00A16A15"/>
    <w:rsid w:val="00A22F56"/>
    <w:rsid w:val="00A258F3"/>
    <w:rsid w:val="00A47870"/>
    <w:rsid w:val="00AB0DD2"/>
    <w:rsid w:val="00B12DD9"/>
    <w:rsid w:val="00B13086"/>
    <w:rsid w:val="00B217B8"/>
    <w:rsid w:val="00B606C7"/>
    <w:rsid w:val="00B87057"/>
    <w:rsid w:val="00B907BC"/>
    <w:rsid w:val="00BB796D"/>
    <w:rsid w:val="00BD7B15"/>
    <w:rsid w:val="00C3089D"/>
    <w:rsid w:val="00C456C3"/>
    <w:rsid w:val="00C951F3"/>
    <w:rsid w:val="00CA28B7"/>
    <w:rsid w:val="00CB1A8E"/>
    <w:rsid w:val="00CB6D9F"/>
    <w:rsid w:val="00CE4FD9"/>
    <w:rsid w:val="00D27BE4"/>
    <w:rsid w:val="00D827FC"/>
    <w:rsid w:val="00DD451F"/>
    <w:rsid w:val="00E30C2C"/>
    <w:rsid w:val="00E60331"/>
    <w:rsid w:val="00E81F22"/>
    <w:rsid w:val="00ED3D4B"/>
    <w:rsid w:val="00F01CD8"/>
    <w:rsid w:val="00F23A19"/>
    <w:rsid w:val="00FA36E4"/>
    <w:rsid w:val="00FE1D22"/>
    <w:rsid w:val="00FF44E1"/>
    <w:rsid w:val="00FF542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6F43C"/>
  <w15:docId w15:val="{D351B327-0727-4356-9EF4-2F798932B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897"/>
    <w:pPr>
      <w:spacing w:after="160" w:line="259" w:lineRule="auto"/>
    </w:pPr>
    <w:rPr>
      <w:rFonts w:ascii="Calibri" w:eastAsia="Calibri" w:hAnsi="Calibri"/>
      <w:kern w:val="2"/>
      <w14:ligatures w14:val="standardContextual"/>
    </w:rPr>
  </w:style>
  <w:style w:type="paragraph" w:styleId="Heading1">
    <w:name w:val="heading 1"/>
    <w:basedOn w:val="Normal"/>
    <w:next w:val="Normal"/>
    <w:link w:val="Heading1Char"/>
    <w:uiPriority w:val="9"/>
    <w:qFormat/>
    <w:rsid w:val="00B35D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5D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5D4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5D4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35D4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5D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5D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5D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5D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A225E1"/>
  </w:style>
  <w:style w:type="character" w:customStyle="1" w:styleId="FooterChar">
    <w:name w:val="Footer Char"/>
    <w:basedOn w:val="DefaultParagraphFont"/>
    <w:link w:val="Footer"/>
    <w:uiPriority w:val="99"/>
    <w:qFormat/>
    <w:rsid w:val="00A225E1"/>
  </w:style>
  <w:style w:type="character" w:styleId="LineNumber">
    <w:name w:val="line number"/>
    <w:basedOn w:val="DefaultParagraphFont"/>
    <w:uiPriority w:val="99"/>
    <w:semiHidden/>
    <w:unhideWhenUsed/>
    <w:rsid w:val="00A5636F"/>
  </w:style>
  <w:style w:type="character" w:styleId="Hyperlink">
    <w:name w:val="Hyperlink"/>
    <w:basedOn w:val="DefaultParagraphFont"/>
    <w:uiPriority w:val="99"/>
    <w:unhideWhenUsed/>
    <w:rsid w:val="004531B6"/>
    <w:rPr>
      <w:color w:val="0563C1" w:themeColor="hyperlink"/>
      <w:u w:val="single"/>
    </w:rPr>
  </w:style>
  <w:style w:type="character" w:customStyle="1" w:styleId="UnresolvedMention1">
    <w:name w:val="Unresolved Mention1"/>
    <w:basedOn w:val="DefaultParagraphFont"/>
    <w:uiPriority w:val="99"/>
    <w:semiHidden/>
    <w:unhideWhenUsed/>
    <w:qFormat/>
    <w:rsid w:val="004531B6"/>
    <w:rPr>
      <w:color w:val="605E5C"/>
      <w:shd w:val="clear" w:color="auto" w:fill="E1DFDD"/>
    </w:rPr>
  </w:style>
  <w:style w:type="character" w:styleId="CommentReference">
    <w:name w:val="annotation reference"/>
    <w:basedOn w:val="DefaultParagraphFont"/>
    <w:uiPriority w:val="99"/>
    <w:semiHidden/>
    <w:unhideWhenUsed/>
    <w:qFormat/>
    <w:rsid w:val="004531B6"/>
    <w:rPr>
      <w:sz w:val="16"/>
      <w:szCs w:val="16"/>
    </w:rPr>
  </w:style>
  <w:style w:type="character" w:customStyle="1" w:styleId="CommentTextChar">
    <w:name w:val="Comment Text Char"/>
    <w:basedOn w:val="DefaultParagraphFont"/>
    <w:link w:val="CommentText"/>
    <w:uiPriority w:val="99"/>
    <w:qFormat/>
    <w:rsid w:val="004531B6"/>
    <w:rPr>
      <w:kern w:val="2"/>
      <w:sz w:val="20"/>
      <w:szCs w:val="20"/>
      <w14:ligatures w14:val="standardContextual"/>
    </w:rPr>
  </w:style>
  <w:style w:type="character" w:customStyle="1" w:styleId="CommentSubjectChar">
    <w:name w:val="Comment Subject Char"/>
    <w:basedOn w:val="CommentTextChar"/>
    <w:link w:val="CommentSubject"/>
    <w:uiPriority w:val="99"/>
    <w:semiHidden/>
    <w:qFormat/>
    <w:rsid w:val="004531B6"/>
    <w:rPr>
      <w:b/>
      <w:bCs/>
      <w:kern w:val="2"/>
      <w:sz w:val="20"/>
      <w:szCs w:val="20"/>
      <w14:ligatures w14:val="standardContextual"/>
    </w:rPr>
  </w:style>
  <w:style w:type="character" w:customStyle="1" w:styleId="BalloonTextChar">
    <w:name w:val="Balloon Text Char"/>
    <w:basedOn w:val="DefaultParagraphFont"/>
    <w:link w:val="BalloonText"/>
    <w:uiPriority w:val="99"/>
    <w:semiHidden/>
    <w:qFormat/>
    <w:rsid w:val="004531B6"/>
    <w:rPr>
      <w:rFonts w:ascii="Segoe UI" w:hAnsi="Segoe UI" w:cs="Segoe UI"/>
      <w:kern w:val="2"/>
      <w:sz w:val="18"/>
      <w:szCs w:val="18"/>
      <w14:ligatures w14:val="standardContextual"/>
    </w:rPr>
  </w:style>
  <w:style w:type="character" w:styleId="HTMLCode">
    <w:name w:val="HTML Code"/>
    <w:basedOn w:val="DefaultParagraphFont"/>
    <w:uiPriority w:val="99"/>
    <w:semiHidden/>
    <w:unhideWhenUsed/>
    <w:qFormat/>
    <w:rsid w:val="00180806"/>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qFormat/>
    <w:rsid w:val="00B35D4E"/>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qFormat/>
    <w:rsid w:val="00B35D4E"/>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qFormat/>
    <w:rsid w:val="00B35D4E"/>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qFormat/>
    <w:rsid w:val="00B35D4E"/>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qFormat/>
    <w:rsid w:val="00B35D4E"/>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qFormat/>
    <w:rsid w:val="00B35D4E"/>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qFormat/>
    <w:rsid w:val="00B35D4E"/>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qFormat/>
    <w:rsid w:val="00B35D4E"/>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qFormat/>
    <w:rsid w:val="00B35D4E"/>
    <w:rPr>
      <w:rFonts w:eastAsiaTheme="majorEastAsia" w:cstheme="majorBidi"/>
      <w:color w:val="272727" w:themeColor="text1" w:themeTint="D8"/>
      <w:kern w:val="2"/>
      <w14:ligatures w14:val="standardContextual"/>
    </w:rPr>
  </w:style>
  <w:style w:type="character" w:customStyle="1" w:styleId="TitleChar">
    <w:name w:val="Title Char"/>
    <w:basedOn w:val="DefaultParagraphFont"/>
    <w:link w:val="Title"/>
    <w:uiPriority w:val="10"/>
    <w:qFormat/>
    <w:rsid w:val="00B35D4E"/>
    <w:rPr>
      <w:rFonts w:asciiTheme="majorHAnsi" w:eastAsiaTheme="majorEastAsia" w:hAnsiTheme="majorHAnsi" w:cstheme="majorBidi"/>
      <w:spacing w:val="-10"/>
      <w:kern w:val="2"/>
      <w:sz w:val="56"/>
      <w:szCs w:val="56"/>
      <w14:ligatures w14:val="standardContextual"/>
    </w:rPr>
  </w:style>
  <w:style w:type="character" w:customStyle="1" w:styleId="SubtitleChar">
    <w:name w:val="Subtitle Char"/>
    <w:basedOn w:val="DefaultParagraphFont"/>
    <w:link w:val="Subtitle"/>
    <w:uiPriority w:val="11"/>
    <w:qFormat/>
    <w:rsid w:val="00B35D4E"/>
    <w:rPr>
      <w:rFonts w:eastAsiaTheme="majorEastAsia" w:cstheme="majorBidi"/>
      <w:color w:val="595959" w:themeColor="text1" w:themeTint="A6"/>
      <w:spacing w:val="15"/>
      <w:kern w:val="2"/>
      <w:sz w:val="28"/>
      <w:szCs w:val="28"/>
      <w14:ligatures w14:val="standardContextual"/>
    </w:rPr>
  </w:style>
  <w:style w:type="character" w:customStyle="1" w:styleId="QuoteChar">
    <w:name w:val="Quote Char"/>
    <w:basedOn w:val="DefaultParagraphFont"/>
    <w:link w:val="Quote"/>
    <w:uiPriority w:val="29"/>
    <w:qFormat/>
    <w:rsid w:val="00B35D4E"/>
    <w:rPr>
      <w:i/>
      <w:iCs/>
      <w:color w:val="404040" w:themeColor="text1" w:themeTint="BF"/>
      <w:kern w:val="2"/>
      <w14:ligatures w14:val="standardContextual"/>
    </w:rPr>
  </w:style>
  <w:style w:type="character" w:styleId="IntenseEmphasis">
    <w:name w:val="Intense Emphasis"/>
    <w:basedOn w:val="DefaultParagraphFont"/>
    <w:uiPriority w:val="21"/>
    <w:qFormat/>
    <w:rsid w:val="00B35D4E"/>
    <w:rPr>
      <w:i/>
      <w:iCs/>
      <w:color w:val="2F5496" w:themeColor="accent1" w:themeShade="BF"/>
    </w:rPr>
  </w:style>
  <w:style w:type="character" w:customStyle="1" w:styleId="IntenseQuoteChar">
    <w:name w:val="Intense Quote Char"/>
    <w:basedOn w:val="DefaultParagraphFont"/>
    <w:link w:val="IntenseQuote"/>
    <w:uiPriority w:val="30"/>
    <w:qFormat/>
    <w:rsid w:val="00B35D4E"/>
    <w:rPr>
      <w:i/>
      <w:iCs/>
      <w:color w:val="2F5496" w:themeColor="accent1" w:themeShade="BF"/>
      <w:kern w:val="2"/>
      <w14:ligatures w14:val="standardContextual"/>
    </w:rPr>
  </w:style>
  <w:style w:type="character" w:styleId="IntenseReference">
    <w:name w:val="Intense Reference"/>
    <w:basedOn w:val="DefaultParagraphFont"/>
    <w:uiPriority w:val="32"/>
    <w:qFormat/>
    <w:rsid w:val="00B35D4E"/>
    <w:rPr>
      <w:b/>
      <w:bCs/>
      <w:smallCaps/>
      <w:color w:val="2F5496" w:themeColor="accent1" w:themeShade="BF"/>
      <w:spacing w:val="5"/>
    </w:rPr>
  </w:style>
  <w:style w:type="character" w:styleId="Emphasis">
    <w:name w:val="Emphasis"/>
    <w:basedOn w:val="DefaultParagraphFont"/>
    <w:uiPriority w:val="20"/>
    <w:qFormat/>
    <w:rsid w:val="00B35D4E"/>
    <w:rPr>
      <w:i/>
      <w:iCs/>
    </w:rPr>
  </w:style>
  <w:style w:type="character" w:customStyle="1" w:styleId="anchor-text">
    <w:name w:val="anchor-text"/>
    <w:basedOn w:val="DefaultParagraphFont"/>
    <w:qFormat/>
    <w:rsid w:val="00B35D4E"/>
  </w:style>
  <w:style w:type="character" w:customStyle="1" w:styleId="referencesyear">
    <w:name w:val="references__year"/>
    <w:basedOn w:val="DefaultParagraphFont"/>
    <w:qFormat/>
    <w:rsid w:val="00B35D4E"/>
  </w:style>
  <w:style w:type="character" w:customStyle="1" w:styleId="referencesarticle-title">
    <w:name w:val="references__article-title"/>
    <w:basedOn w:val="DefaultParagraphFont"/>
    <w:qFormat/>
    <w:rsid w:val="00B35D4E"/>
  </w:style>
  <w:style w:type="character" w:styleId="Strong">
    <w:name w:val="Strong"/>
    <w:basedOn w:val="DefaultParagraphFont"/>
    <w:uiPriority w:val="22"/>
    <w:qFormat/>
    <w:rsid w:val="00B35D4E"/>
    <w:rPr>
      <w:b/>
      <w:bCs/>
    </w:rPr>
  </w:style>
  <w:style w:type="character" w:styleId="FollowedHyperlink">
    <w:name w:val="FollowedHyperlink"/>
    <w:basedOn w:val="DefaultParagraphFont"/>
    <w:uiPriority w:val="99"/>
    <w:semiHidden/>
    <w:unhideWhenUsed/>
    <w:rsid w:val="00B2596D"/>
    <w:rPr>
      <w:color w:val="954F72" w:themeColor="followedHyperlink"/>
      <w:u w:val="single"/>
    </w:rPr>
  </w:style>
  <w:style w:type="character" w:styleId="UnresolvedMention">
    <w:name w:val="Unresolved Mention"/>
    <w:basedOn w:val="DefaultParagraphFont"/>
    <w:uiPriority w:val="99"/>
    <w:semiHidden/>
    <w:unhideWhenUsed/>
    <w:qFormat/>
    <w:rsid w:val="00DE21FD"/>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261E9F"/>
    <w:rPr>
      <w:rFonts w:ascii="Courier New" w:eastAsia="Times New Roman" w:hAnsi="Courier New" w:cs="Courier New"/>
      <w:sz w:val="20"/>
      <w:szCs w:val="20"/>
    </w:rP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254734"/>
    <w:pPr>
      <w:spacing w:after="200" w:line="240" w:lineRule="auto"/>
    </w:pPr>
    <w:rPr>
      <w:i/>
      <w:iCs/>
      <w:color w:val="44546A" w:themeColor="text2"/>
      <w:sz w:val="18"/>
      <w:szCs w:val="18"/>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A225E1"/>
    <w:pPr>
      <w:suppressLineNumbers/>
      <w:tabs>
        <w:tab w:val="center" w:pos="4703"/>
        <w:tab w:val="right" w:pos="9406"/>
      </w:tabs>
      <w:spacing w:after="0" w:line="240" w:lineRule="auto"/>
    </w:pPr>
  </w:style>
  <w:style w:type="paragraph" w:styleId="Footer">
    <w:name w:val="footer"/>
    <w:basedOn w:val="Normal"/>
    <w:link w:val="FooterChar"/>
    <w:uiPriority w:val="99"/>
    <w:unhideWhenUsed/>
    <w:rsid w:val="00A225E1"/>
    <w:pPr>
      <w:suppressLineNumbers/>
      <w:tabs>
        <w:tab w:val="center" w:pos="4703"/>
        <w:tab w:val="right" w:pos="9406"/>
      </w:tabs>
      <w:spacing w:after="0" w:line="240" w:lineRule="auto"/>
    </w:pPr>
  </w:style>
  <w:style w:type="paragraph" w:styleId="CommentText">
    <w:name w:val="annotation text"/>
    <w:basedOn w:val="Normal"/>
    <w:link w:val="CommentTextChar"/>
    <w:uiPriority w:val="99"/>
    <w:unhideWhenUsed/>
    <w:rsid w:val="004531B6"/>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4531B6"/>
    <w:rPr>
      <w:b/>
      <w:bCs/>
    </w:rPr>
  </w:style>
  <w:style w:type="paragraph" w:styleId="BalloonText">
    <w:name w:val="Balloon Text"/>
    <w:basedOn w:val="Normal"/>
    <w:link w:val="BalloonTextChar"/>
    <w:uiPriority w:val="99"/>
    <w:semiHidden/>
    <w:unhideWhenUsed/>
    <w:qFormat/>
    <w:rsid w:val="004531B6"/>
    <w:pPr>
      <w:spacing w:after="0" w:line="240" w:lineRule="auto"/>
    </w:pPr>
    <w:rPr>
      <w:rFonts w:ascii="Segoe UI" w:hAnsi="Segoe UI" w:cs="Segoe UI"/>
      <w:sz w:val="18"/>
      <w:szCs w:val="18"/>
    </w:rPr>
  </w:style>
  <w:style w:type="paragraph" w:customStyle="1" w:styleId="mb-3">
    <w:name w:val="mb-3"/>
    <w:basedOn w:val="Normal"/>
    <w:qFormat/>
    <w:rsid w:val="00F74E47"/>
    <w:pPr>
      <w:spacing w:beforeAutospacing="1"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0503AF"/>
    <w:pPr>
      <w:ind w:left="720"/>
      <w:contextualSpacing/>
    </w:pPr>
  </w:style>
  <w:style w:type="paragraph" w:styleId="Revision">
    <w:name w:val="Revision"/>
    <w:uiPriority w:val="99"/>
    <w:semiHidden/>
    <w:qFormat/>
    <w:rsid w:val="00ED4D0B"/>
    <w:rPr>
      <w:rFonts w:ascii="Calibri" w:eastAsia="Calibri" w:hAnsi="Calibri"/>
      <w:kern w:val="2"/>
      <w14:ligatures w14:val="standardContextual"/>
    </w:rPr>
  </w:style>
  <w:style w:type="paragraph" w:styleId="Title">
    <w:name w:val="Title"/>
    <w:basedOn w:val="Normal"/>
    <w:next w:val="Normal"/>
    <w:link w:val="TitleChar"/>
    <w:uiPriority w:val="10"/>
    <w:qFormat/>
    <w:rsid w:val="00B35D4E"/>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B35D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D4E"/>
    <w:pPr>
      <w:spacing w:before="160"/>
      <w:jc w:val="center"/>
    </w:pPr>
    <w:rPr>
      <w:i/>
      <w:iCs/>
      <w:color w:val="404040" w:themeColor="text1" w:themeTint="BF"/>
    </w:rPr>
  </w:style>
  <w:style w:type="paragraph" w:styleId="IntenseQuote">
    <w:name w:val="Intense Quote"/>
    <w:basedOn w:val="Normal"/>
    <w:next w:val="Normal"/>
    <w:link w:val="IntenseQuoteChar"/>
    <w:uiPriority w:val="30"/>
    <w:qFormat/>
    <w:rsid w:val="00B35D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paragraph" w:styleId="NormalWeb">
    <w:name w:val="Normal (Web)"/>
    <w:basedOn w:val="Normal"/>
    <w:uiPriority w:val="99"/>
    <w:unhideWhenUsed/>
    <w:qFormat/>
    <w:rsid w:val="00B35D4E"/>
    <w:pPr>
      <w:spacing w:beforeAutospacing="1" w:afterAutospacing="1" w:line="240" w:lineRule="auto"/>
    </w:pPr>
    <w:rPr>
      <w:rFonts w:ascii="Times New Roman" w:eastAsia="Times New Roman" w:hAnsi="Times New Roman" w:cs="Times New Roman"/>
      <w:kern w:val="0"/>
      <w:sz w:val="24"/>
      <w:szCs w:val="24"/>
      <w14:ligatures w14:val="none"/>
    </w:rPr>
  </w:style>
  <w:style w:type="paragraph" w:customStyle="1" w:styleId="Comment">
    <w:name w:val="Comment"/>
    <w:basedOn w:val="Normal"/>
    <w:qFormat/>
    <w:rPr>
      <w:sz w:val="20"/>
      <w:szCs w:val="20"/>
    </w:rPr>
  </w:style>
  <w:style w:type="paragraph" w:styleId="HTMLPreformatted">
    <w:name w:val="HTML Preformatted"/>
    <w:basedOn w:val="Normal"/>
    <w:link w:val="HTMLPreformattedChar"/>
    <w:uiPriority w:val="99"/>
    <w:semiHidden/>
    <w:unhideWhenUsed/>
    <w:qFormat/>
    <w:rsid w:val="00261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kern w:val="0"/>
      <w:sz w:val="20"/>
      <w:szCs w:val="20"/>
      <w14:ligatures w14:val="none"/>
    </w:rPr>
  </w:style>
  <w:style w:type="paragraph" w:styleId="Bibliography">
    <w:name w:val="Bibliography"/>
    <w:basedOn w:val="Normal"/>
    <w:next w:val="Normal"/>
    <w:uiPriority w:val="37"/>
    <w:unhideWhenUsed/>
    <w:qFormat/>
    <w:rsid w:val="00DD6896"/>
    <w:pPr>
      <w:spacing w:after="0" w:line="240" w:lineRule="auto"/>
      <w:ind w:left="720" w:hanging="720"/>
    </w:pPr>
  </w:style>
  <w:style w:type="table" w:styleId="TableGridLight">
    <w:name w:val="Grid Table Light"/>
    <w:basedOn w:val="TableNormal"/>
    <w:uiPriority w:val="40"/>
    <w:rsid w:val="00180806"/>
    <w:rPr>
      <w:lang w:val="nl-NL"/>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leGrid">
    <w:name w:val="Table Grid"/>
    <w:basedOn w:val="TableNormal"/>
    <w:uiPriority w:val="39"/>
    <w:rsid w:val="00B35D4E"/>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35D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4898-4494" TargetMode="External"/><Relationship Id="rId18" Type="http://schemas.openxmlformats.org/officeDocument/2006/relationships/hyperlink" Target="mailto:jelle.devalez@gmail.com" TargetMode="External"/><Relationship Id="rId26" Type="http://schemas.openxmlformats.org/officeDocument/2006/relationships/hyperlink" Target="mailto:gerard.bota@ctfc.cat" TargetMode="External"/><Relationship Id="rId39" Type="http://schemas.openxmlformats.org/officeDocument/2006/relationships/hyperlink" Target="mailto:hans.jacquemyn@kuleuven.be" TargetMode="External"/><Relationship Id="rId21" Type="http://schemas.openxmlformats.org/officeDocument/2006/relationships/hyperlink" Target="https://orcid.org/0000-0003-2338-4564%20//" TargetMode="External"/><Relationship Id="rId34" Type="http://schemas.openxmlformats.org/officeDocument/2006/relationships/hyperlink" Target="mailto:juan.traba@uam.es" TargetMode="External"/><Relationship Id="rId42" Type="http://schemas.openxmlformats.org/officeDocument/2006/relationships/hyperlink" Target="https://orcid.org/0000-0003-2500-7164%20//" TargetMode="External"/><Relationship Id="rId47" Type="http://schemas.openxmlformats.org/officeDocument/2006/relationships/hyperlink" Target="https://orcid.org/0000-0002-3377-4622%20//" TargetMode="External"/><Relationship Id="rId50" Type="http://schemas.openxmlformats.org/officeDocument/2006/relationships/hyperlink" Target="https://elurikkus.ee/app/taxonomy/taxon/40349" TargetMode="External"/><Relationship Id="rId55" Type="http://schemas.openxmlformats.org/officeDocument/2006/relationships/image" Target="media/image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lisabeth.prangel@ut.ee" TargetMode="External"/><Relationship Id="rId29" Type="http://schemas.openxmlformats.org/officeDocument/2006/relationships/hyperlink" Target="https://orcid.org/0000-0001-9712-1957%20//" TargetMode="External"/><Relationship Id="rId11" Type="http://schemas.openxmlformats.org/officeDocument/2006/relationships/hyperlink" Target="https://orcid.org/0009-0005-0467-4787%20//" TargetMode="External"/><Relationship Id="rId24" Type="http://schemas.openxmlformats.org/officeDocument/2006/relationships/hyperlink" Target="mailto:triin.reitalu@ut.ee" TargetMode="External"/><Relationship Id="rId32" Type="http://schemas.openxmlformats.org/officeDocument/2006/relationships/hyperlink" Target="mailto:jordiartola@dorcusnatura.cat" TargetMode="External"/><Relationship Id="rId37" Type="http://schemas.openxmlformats.org/officeDocument/2006/relationships/hyperlink" Target="https://orcid.org/0000-0001-9600-5794%20//" TargetMode="External"/><Relationship Id="rId40" Type="http://schemas.openxmlformats.org/officeDocument/2006/relationships/hyperlink" Target="https://orcid.org/0000-0001-5716-3634" TargetMode="External"/><Relationship Id="rId45" Type="http://schemas.openxmlformats.org/officeDocument/2006/relationships/hyperlink" Target="mailto:catrin.westphal@uni-goettingen.de" TargetMode="External"/><Relationship Id="rId53" Type="http://schemas.openxmlformats.org/officeDocument/2006/relationships/image" Target="media/image1.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orcid.org/0000-0002-4343-5288%20//" TargetMode="External"/><Relationship Id="rId4" Type="http://schemas.openxmlformats.org/officeDocument/2006/relationships/settings" Target="settings.xml"/><Relationship Id="rId9" Type="http://schemas.openxmlformats.org/officeDocument/2006/relationships/hyperlink" Target="mailto:elena.velado@outlook.es" TargetMode="External"/><Relationship Id="rId14" Type="http://schemas.openxmlformats.org/officeDocument/2006/relationships/hyperlink" Target="mailto:felipe.libran-embid@allzool.bio.uni-giessen.de" TargetMode="External"/><Relationship Id="rId22" Type="http://schemas.openxmlformats.org/officeDocument/2006/relationships/hyperlink" Target="mailto:aveliina.helm@ut.ee" TargetMode="External"/><Relationship Id="rId27" Type="http://schemas.openxmlformats.org/officeDocument/2006/relationships/hyperlink" Target="https://orcid.org/0000-0002-5793-7916%20//" TargetMode="External"/><Relationship Id="rId30" Type="http://schemas.openxmlformats.org/officeDocument/2006/relationships/hyperlink" Target="mailto:david.giralt@ctfc.cat" TargetMode="External"/><Relationship Id="rId35" Type="http://schemas.openxmlformats.org/officeDocument/2006/relationships/hyperlink" Target="https://orcid.org/0000-0002-5194-076X" TargetMode="External"/><Relationship Id="rId43" Type="http://schemas.openxmlformats.org/officeDocument/2006/relationships/hyperlink" Target="mailto:David.Kleijn@wur.nl" TargetMode="External"/><Relationship Id="rId48" Type="http://schemas.openxmlformats.org/officeDocument/2006/relationships/hyperlink" Target="mailto:ahass@gwdg.de" TargetMode="External"/><Relationship Id="rId56" Type="http://schemas.openxmlformats.org/officeDocument/2006/relationships/image" Target="media/image4.png"/><Relationship Id="rId8" Type="http://schemas.openxmlformats.org/officeDocument/2006/relationships/hyperlink" Target="https://orcid.org/0000-0003-4805-2929%20//" TargetMode="External"/><Relationship Id="rId51" Type="http://schemas.openxmlformats.org/officeDocument/2006/relationships/hyperlink" Target="https://thenounproject.com/" TargetMode="External"/><Relationship Id="rId3" Type="http://schemas.openxmlformats.org/officeDocument/2006/relationships/styles" Target="styles.xml"/><Relationship Id="rId12" Type="http://schemas.openxmlformats.org/officeDocument/2006/relationships/hyperlink" Target="mailto:ira.hannappel@uni-goettingen.de" TargetMode="External"/><Relationship Id="rId17" Type="http://schemas.openxmlformats.org/officeDocument/2006/relationships/hyperlink" Target="https://orcid.org/0000-0003-1110-0640" TargetMode="External"/><Relationship Id="rId25" Type="http://schemas.openxmlformats.org/officeDocument/2006/relationships/hyperlink" Target="https://orcid.org/0000-0001-9020-7272%20//" TargetMode="External"/><Relationship Id="rId33" Type="http://schemas.openxmlformats.org/officeDocument/2006/relationships/hyperlink" Target="https://orcid.org/0000-0001-6326-8942%20//" TargetMode="External"/><Relationship Id="rId38" Type="http://schemas.openxmlformats.org/officeDocument/2006/relationships/hyperlink" Target="mailto:evantaylor.sloan@kuleuven.be" TargetMode="External"/><Relationship Id="rId46" Type="http://schemas.openxmlformats.org/officeDocument/2006/relationships/hyperlink" Target="mailto:" TargetMode="External"/><Relationship Id="rId59" Type="http://schemas.openxmlformats.org/officeDocument/2006/relationships/theme" Target="theme/theme1.xml"/><Relationship Id="rId20" Type="http://schemas.openxmlformats.org/officeDocument/2006/relationships/hyperlink" Target="mailto:tanel.vahter@ut.ee" TargetMode="External"/><Relationship Id="rId41" Type="http://schemas.openxmlformats.org/officeDocument/2006/relationships/hyperlink" Target="mailto:keller@bio.lmu.de" TargetMode="Externa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3-0776-5017%20//" TargetMode="External"/><Relationship Id="rId23" Type="http://schemas.openxmlformats.org/officeDocument/2006/relationships/hyperlink" Target="https://orcid.org/0000-0002-6555-3066%20//" TargetMode="External"/><Relationship Id="rId28" Type="http://schemas.openxmlformats.org/officeDocument/2006/relationships/hyperlink" Target="mailto:xabier.cabodevilla@ehu.eus" TargetMode="External"/><Relationship Id="rId36" Type="http://schemas.openxmlformats.org/officeDocument/2006/relationships/hyperlink" Target="mailto:evantaylor.sloan@kuleuven.be" TargetMode="External"/><Relationship Id="rId49" Type="http://schemas.openxmlformats.org/officeDocument/2006/relationships/hyperlink" Target="https://zenodo.org/records/17208839?token=eyJhbGciOiJIUzUxMiJ9.eyJpZCI6IjA3ZWNlNjU2LWZmZTAtNDlhNS1iODZmLTdkNDVjOTVkYWQ5MSIsImRhdGEiOnt9LCJyYW5kb20iOiIxNjhhODgyMjIxZDlhZWE0ZDYzZjFkYmRjYjIxM2I1ZSJ9.ZMJDTB24a8Z110JgCAVlRXWNJU7vGl9NQ8VeNVVw2S75boZj6_BDsmCx8fZDk30ULDXk4-R2XdfUXJ1OyBJq4g" TargetMode="External"/><Relationship Id="rId57" Type="http://schemas.openxmlformats.org/officeDocument/2006/relationships/footer" Target="footer1.xml"/><Relationship Id="rId10" Type="http://schemas.openxmlformats.org/officeDocument/2006/relationships/hyperlink" Target="mailto:elena.veladoalonso@uni-goettingen.de" TargetMode="External"/><Relationship Id="rId31" Type="http://schemas.openxmlformats.org/officeDocument/2006/relationships/hyperlink" Target="https://orcid.org/0009-0009-9500-7769%20//" TargetMode="External"/><Relationship Id="rId44" Type="http://schemas.openxmlformats.org/officeDocument/2006/relationships/hyperlink" Target="https://orcid.org/0000-0002-2615-1339%20//" TargetMode="External"/><Relationship Id="rId52" Type="http://schemas.openxmlformats.org/officeDocument/2006/relationships/hyperlink" Target="https://www.phylopic.org/"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A9AB0-CFF3-4BD6-9B37-48F49A674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34</Pages>
  <Words>43388</Words>
  <Characters>275950</Characters>
  <Application>Microsoft Office Word</Application>
  <DocSecurity>0</DocSecurity>
  <Lines>3942</Lines>
  <Paragraphs>1104</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318234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Velado Alonso, Elena</dc:creator>
  <dc:description/>
  <cp:lastModifiedBy>Xavi Serra</cp:lastModifiedBy>
  <cp:revision>8</cp:revision>
  <dcterms:created xsi:type="dcterms:W3CDTF">2025-09-26T11:39:00Z</dcterms:created>
  <dcterms:modified xsi:type="dcterms:W3CDTF">2025-10-07T16:03:00Z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id="YSu58Pgw"/&gt;&lt;style id="http://www.zotero.org/styles/ecology-letters" hasBibliography="1" bibliographyStyleHasBeenSet="1"/&gt;&lt;prefs&gt;&lt;pref name="fieldType" value="Field"/&gt;&lt;/prefs&gt;&lt;/data&gt;</vt:lpwstr>
  </property>
</Properties>
</file>